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9D2" w:rsidRPr="004504F2" w:rsidRDefault="00E239D2" w:rsidP="004504F2">
      <w:pPr>
        <w:jc w:val="both"/>
      </w:pPr>
    </w:p>
    <w:p w:rsidR="00E239D2" w:rsidRPr="004504F2" w:rsidRDefault="00E239D2" w:rsidP="004504F2">
      <w:pPr>
        <w:jc w:val="both"/>
      </w:pPr>
    </w:p>
    <w:p w:rsidR="00E239D2" w:rsidRPr="004504F2" w:rsidRDefault="00E239D2" w:rsidP="00392A03">
      <w:pPr>
        <w:jc w:val="center"/>
        <w:rPr>
          <w:b/>
          <w:bCs/>
          <w:iCs/>
        </w:rPr>
      </w:pPr>
      <w:r w:rsidRPr="004504F2">
        <w:rPr>
          <w:b/>
        </w:rPr>
        <w:t xml:space="preserve">Round Table Event on </w:t>
      </w:r>
      <w:r w:rsidRPr="004504F2">
        <w:rPr>
          <w:b/>
          <w:bCs/>
          <w:iCs/>
        </w:rPr>
        <w:t>event on the consultation on strengthening the presumption against the use of short sentences</w:t>
      </w:r>
    </w:p>
    <w:p w:rsidR="00E239D2" w:rsidRPr="004504F2" w:rsidRDefault="00E239D2" w:rsidP="00392A03">
      <w:pPr>
        <w:jc w:val="center"/>
        <w:rPr>
          <w:b/>
        </w:rPr>
      </w:pPr>
      <w:r w:rsidRPr="004504F2">
        <w:rPr>
          <w:b/>
        </w:rPr>
        <w:t xml:space="preserve">Sacro Office, </w:t>
      </w:r>
      <w:smartTag w:uri="urn:schemas-microsoft-com:office:smarttags" w:element="address">
        <w:smartTag w:uri="urn:schemas-microsoft-com:office:smarttags" w:element="Street">
          <w:r w:rsidRPr="004504F2">
            <w:rPr>
              <w:b/>
            </w:rPr>
            <w:t>29 Albany St</w:t>
          </w:r>
        </w:smartTag>
        <w:r w:rsidRPr="004504F2">
          <w:rPr>
            <w:b/>
          </w:rPr>
          <w:t xml:space="preserve">, </w:t>
        </w:r>
        <w:smartTag w:uri="urn:schemas-microsoft-com:office:smarttags" w:element="City">
          <w:r w:rsidRPr="004504F2">
            <w:rPr>
              <w:b/>
            </w:rPr>
            <w:t>Edinburgh</w:t>
          </w:r>
        </w:smartTag>
        <w:r w:rsidRPr="004504F2">
          <w:rPr>
            <w:b/>
          </w:rPr>
          <w:t xml:space="preserve">, </w:t>
        </w:r>
        <w:smartTag w:uri="urn:schemas-microsoft-com:office:smarttags" w:element="PostalCode">
          <w:r w:rsidRPr="004504F2">
            <w:rPr>
              <w:rStyle w:val="st"/>
              <w:b/>
            </w:rPr>
            <w:t>EH1 3QN</w:t>
          </w:r>
        </w:smartTag>
      </w:smartTag>
    </w:p>
    <w:p w:rsidR="00E239D2" w:rsidRPr="004504F2" w:rsidRDefault="00E239D2" w:rsidP="00392A03">
      <w:pPr>
        <w:jc w:val="center"/>
        <w:rPr>
          <w:b/>
        </w:rPr>
      </w:pPr>
      <w:r w:rsidRPr="004504F2">
        <w:rPr>
          <w:b/>
        </w:rPr>
        <w:t>Friday 4</w:t>
      </w:r>
      <w:r w:rsidRPr="004504F2">
        <w:rPr>
          <w:b/>
          <w:vertAlign w:val="superscript"/>
        </w:rPr>
        <w:t>th</w:t>
      </w:r>
      <w:r w:rsidRPr="004504F2">
        <w:rPr>
          <w:b/>
        </w:rPr>
        <w:t xml:space="preserve"> December 2015</w:t>
      </w:r>
    </w:p>
    <w:p w:rsidR="00E239D2" w:rsidRPr="004504F2" w:rsidRDefault="00E239D2" w:rsidP="00392A03">
      <w:pPr>
        <w:jc w:val="center"/>
        <w:rPr>
          <w:b/>
        </w:rPr>
      </w:pPr>
      <w:r w:rsidRPr="004504F2">
        <w:rPr>
          <w:b/>
        </w:rPr>
        <w:t>1pm - 4pm</w:t>
      </w:r>
    </w:p>
    <w:p w:rsidR="00E239D2" w:rsidRPr="004504F2" w:rsidRDefault="00E239D2" w:rsidP="00392A03">
      <w:pPr>
        <w:jc w:val="center"/>
        <w:rPr>
          <w:b/>
        </w:rPr>
      </w:pPr>
    </w:p>
    <w:p w:rsidR="00E239D2" w:rsidRPr="004504F2" w:rsidRDefault="00E239D2" w:rsidP="00392A03">
      <w:pPr>
        <w:jc w:val="center"/>
        <w:rPr>
          <w:b/>
        </w:rPr>
      </w:pPr>
      <w:r w:rsidRPr="004504F2">
        <w:rPr>
          <w:b/>
        </w:rPr>
        <w:t>REPORT</w:t>
      </w:r>
    </w:p>
    <w:p w:rsidR="00E239D2" w:rsidRPr="004504F2" w:rsidRDefault="00E239D2" w:rsidP="004504F2">
      <w:pPr>
        <w:jc w:val="both"/>
        <w:rPr>
          <w:b/>
        </w:rPr>
      </w:pPr>
    </w:p>
    <w:p w:rsidR="00E239D2" w:rsidRPr="004504F2" w:rsidRDefault="00E239D2" w:rsidP="004504F2">
      <w:pPr>
        <w:jc w:val="both"/>
        <w:rPr>
          <w:b/>
        </w:rPr>
      </w:pPr>
      <w:r w:rsidRPr="004504F2">
        <w:rPr>
          <w:b/>
        </w:rPr>
        <w:t>Introduction from Alan Staff, Chief Executive APEX Scotland and chair of the event.</w:t>
      </w:r>
    </w:p>
    <w:p w:rsidR="00E239D2" w:rsidRPr="004504F2" w:rsidRDefault="00E239D2" w:rsidP="004504F2">
      <w:pPr>
        <w:jc w:val="both"/>
      </w:pPr>
    </w:p>
    <w:p w:rsidR="00E239D2" w:rsidRPr="004504F2" w:rsidRDefault="00E239D2" w:rsidP="004504F2">
      <w:pPr>
        <w:jc w:val="both"/>
      </w:pPr>
      <w:r w:rsidRPr="004504F2">
        <w:t xml:space="preserve">I hope that this opportunity to share views and ideas will be not just an interesting academic experience, but will inform the wider debate around sentencing in </w:t>
      </w:r>
      <w:smartTag w:uri="urn:schemas-microsoft-com:office:smarttags" w:element="place">
        <w:smartTag w:uri="urn:schemas-microsoft-com:office:smarttags" w:element="country-region">
          <w:r w:rsidRPr="004504F2">
            <w:t>Scotland</w:t>
          </w:r>
        </w:smartTag>
      </w:smartTag>
      <w:r w:rsidRPr="004504F2">
        <w:t xml:space="preserve"> and in particular the consultation around the presumption against the use of short sentences.</w:t>
      </w:r>
    </w:p>
    <w:p w:rsidR="00E239D2" w:rsidRPr="004504F2" w:rsidRDefault="00E239D2" w:rsidP="004504F2">
      <w:pPr>
        <w:jc w:val="both"/>
      </w:pPr>
    </w:p>
    <w:p w:rsidR="00E239D2" w:rsidRPr="004504F2" w:rsidRDefault="00E239D2" w:rsidP="004504F2">
      <w:pPr>
        <w:jc w:val="both"/>
      </w:pPr>
      <w:r w:rsidRPr="004504F2">
        <w:t xml:space="preserve">There are many in this room far more qualified than I to pass opinion on the impact of prison and its effectiveness in preventing re-offending.  Indeed one of the most fascinating things about working in the field of justice in Scotland has been the level of unanimity across all sectors around the desire to bring imprisonment rates down from the shameful levels which we have seen emerge as a consequence of an adherence to a model of justice which places punishment and retribution at its core.  Some of you will have seen the </w:t>
      </w:r>
      <w:hyperlink r:id="rId7" w:history="1">
        <w:r w:rsidRPr="004504F2">
          <w:rPr>
            <w:rStyle w:val="Hyperlink"/>
          </w:rPr>
          <w:t>statement made by the former Bishop of Edinburgh, Richard Holloway</w:t>
        </w:r>
      </w:hyperlink>
      <w:r w:rsidRPr="004504F2">
        <w:t xml:space="preserve"> recently saying that we need to move away from the principles of responding to crime with what has been perceived as the just rewards of sin.  I have been encouraged by the willingness of the decision makers in </w:t>
      </w:r>
      <w:smartTag w:uri="urn:schemas-microsoft-com:office:smarttags" w:element="place">
        <w:smartTag w:uri="urn:schemas-microsoft-com:office:smarttags" w:element="country-region">
          <w:r w:rsidRPr="004504F2">
            <w:t>Scotland</w:t>
          </w:r>
        </w:smartTag>
      </w:smartTag>
      <w:r w:rsidRPr="004504F2">
        <w:t xml:space="preserve"> to reconsider the nature of crime and punishment and to acknowledge that a society is defined by the way in which it seeks to control its norms and rules.  An insecure society is frequently characterised by draconian penalties against those who threaten its fabric, but a mature society can and should examine itself and ask whether our response to those who break our laws should be one of retaliation or restoration?  </w:t>
      </w:r>
    </w:p>
    <w:p w:rsidR="00E239D2" w:rsidRPr="004504F2" w:rsidRDefault="00E239D2" w:rsidP="004504F2">
      <w:pPr>
        <w:jc w:val="both"/>
      </w:pPr>
    </w:p>
    <w:p w:rsidR="00E239D2" w:rsidRPr="004504F2" w:rsidRDefault="00E239D2" w:rsidP="004504F2">
      <w:pPr>
        <w:jc w:val="both"/>
      </w:pPr>
      <w:r w:rsidRPr="004504F2">
        <w:t>These concepts are at the heart of the subject we are considering today and lie at the centre of the proposals put forward by the Scottish Government.  To quote the Cabinet Secretary for Justice “Short</w:t>
      </w:r>
      <w:r w:rsidRPr="004504F2">
        <w:rPr>
          <w:i/>
        </w:rPr>
        <w:t xml:space="preserve"> sentences do nothing to stop reoffending in our communities and only result in offenders going in and out of prison time and time again and reoffending upon release.  In my view we need to act on the evidence, be braver in our approach and take bold action needed to tackle these ineffective sentences</w:t>
      </w:r>
      <w:r w:rsidRPr="004504F2">
        <w:t>” strong stuff indeed, but just how brave do we need to be?  Is the incremental trial of increasing community options gradually and little by little pushing the presumption period up so that with any luck no one will notice and start complaining to the daily Mail the pragmatic solution, or do we need a more radical approach, one where to quote Professor Anthony Duff “</w:t>
      </w:r>
      <w:r w:rsidRPr="004504F2">
        <w:rPr>
          <w:i/>
        </w:rPr>
        <w:t>imprisonment plays only a modest role in a decent, humane and efficient system of criminal justice</w:t>
      </w:r>
      <w:r w:rsidRPr="004504F2">
        <w:t>”.</w:t>
      </w:r>
    </w:p>
    <w:p w:rsidR="00E239D2" w:rsidRPr="004504F2" w:rsidRDefault="00E239D2" w:rsidP="004504F2">
      <w:pPr>
        <w:jc w:val="both"/>
      </w:pPr>
    </w:p>
    <w:p w:rsidR="00E239D2" w:rsidRPr="004504F2" w:rsidRDefault="00E239D2" w:rsidP="004504F2">
      <w:pPr>
        <w:jc w:val="both"/>
      </w:pPr>
      <w:r w:rsidRPr="004504F2">
        <w:t xml:space="preserve">One of the things I love about working in the Third Sector is the range of backgrounds and experiences that its leaders bring to the table, and for those of you who do not know mine is with the NHS and Social care.  One of the things I was asked to do was help review and modernise the mental health approach in </w:t>
      </w:r>
      <w:smartTag w:uri="urn:schemas-microsoft-com:office:smarttags" w:element="country-region">
        <w:r w:rsidRPr="004504F2">
          <w:t>England</w:t>
        </w:r>
      </w:smartTag>
      <w:r w:rsidRPr="004504F2">
        <w:t xml:space="preserve"> and </w:t>
      </w:r>
      <w:smartTag w:uri="urn:schemas-microsoft-com:office:smarttags" w:element="place">
        <w:smartTag w:uri="urn:schemas-microsoft-com:office:smarttags" w:element="country-region">
          <w:r w:rsidRPr="004504F2">
            <w:t>Wales</w:t>
          </w:r>
        </w:smartTag>
      </w:smartTag>
      <w:r w:rsidRPr="004504F2">
        <w:t xml:space="preserve"> and if you will bear with me I would like to share a number of things we learned in that exercise because I feel they are pertinent to this issue.  </w:t>
      </w:r>
    </w:p>
    <w:p w:rsidR="00E239D2" w:rsidRPr="004504F2" w:rsidRDefault="00E239D2" w:rsidP="004504F2">
      <w:pPr>
        <w:jc w:val="both"/>
      </w:pPr>
    </w:p>
    <w:p w:rsidR="00E239D2" w:rsidRPr="004504F2" w:rsidRDefault="00E239D2" w:rsidP="004504F2">
      <w:pPr>
        <w:jc w:val="both"/>
      </w:pPr>
      <w:r w:rsidRPr="004504F2">
        <w:t xml:space="preserve">The first thing we found was that at large expensive institutions worked with far fewer people but commanded a far greater proportion of the power than services which worked with many people but cost far less.  It seemed that the more money a project was given, the greater its ability to attract still more funds.  There are lots of reasons for this phenomenon, but the most obvious one is that having made the investment it is a far harder thing to admit you might have been wrong and stop it than it is just to keep feeding the beast.  The justice agenda in </w:t>
      </w:r>
      <w:smartTag w:uri="urn:schemas-microsoft-com:office:smarttags" w:element="place">
        <w:smartTag w:uri="urn:schemas-microsoft-com:office:smarttags" w:element="country-region">
          <w:r w:rsidRPr="004504F2">
            <w:t>Scotland</w:t>
          </w:r>
        </w:smartTag>
      </w:smartTag>
      <w:r w:rsidRPr="004504F2">
        <w:t xml:space="preserve"> is dominated by the institutional bodies and by far the greatest percentage of what is spent goes on a prison system which for years we have been saying should be run down.  Surely we cannot still be using imprisonment just because it is too difficult to close some can we?</w:t>
      </w:r>
    </w:p>
    <w:p w:rsidR="00E239D2" w:rsidRPr="004504F2" w:rsidRDefault="00E239D2" w:rsidP="004504F2">
      <w:pPr>
        <w:jc w:val="both"/>
      </w:pPr>
    </w:p>
    <w:p w:rsidR="00E239D2" w:rsidRPr="004504F2" w:rsidRDefault="00E239D2" w:rsidP="004504F2">
      <w:pPr>
        <w:jc w:val="both"/>
      </w:pPr>
      <w:r w:rsidRPr="004504F2">
        <w:t xml:space="preserve">The second trend we came across was a curiously counter-intuitive principle which was that waiting lists create waiting lists into infinity.  Failing to tackle health issues at an early stage and specifically when people were willing or able to do something about it inevitably leads to escalation and increasing levels of urgency and associated costs and complexity.  I beg to suggest that this fundamental principal applies to the justice system too.  We throw significant funding at those already in the system because the level of crime they exhibit  seems to justify a significant response.  Specifically we tend to wait until someone has reached a level of offending, either through frequency or severity, that we are required to take action.  This is quite literally the grist which grinds the mill.  If we fail to take positive action when people begin to offend then it becomes inevitable that we will require the levels of higher tariff interventions.  If we start to put more resources and thought into early stage interventions maybe we will begin to starve the institutions as we did in mental health.   I hope we will have some examples later on in the day of what such interventions might look like. </w:t>
      </w:r>
    </w:p>
    <w:p w:rsidR="00E239D2" w:rsidRPr="004504F2" w:rsidRDefault="00E239D2" w:rsidP="004504F2">
      <w:pPr>
        <w:jc w:val="both"/>
      </w:pPr>
    </w:p>
    <w:p w:rsidR="00E239D2" w:rsidRPr="004504F2" w:rsidRDefault="00E239D2" w:rsidP="004504F2">
      <w:pPr>
        <w:jc w:val="both"/>
      </w:pPr>
      <w:r w:rsidRPr="004504F2">
        <w:t xml:space="preserve"> I am delighted that after many years of advocating diversion from prosecution for early stage offenders Apex has been asked to pilot its programme in Clacks and Stirling aimed at keeping first timers out of the justice system and promoting desistance and positive behaviour.  But this is a small pilot, one of numerous attempts to reduce the flow of people going into the justice system which if there is not a radical and meaningful commitment to moving resources from high end to low end interventions will go the way of so many ‘nice if you can afford it’ schemes.  Don’t get me wrong, I believe that if we are not prepared to commit to a significant development of new community based alternatives, not just to sentencing but preventive and diversionary approaches, then whatever we want to do with sentence periods is all a bit academic.</w:t>
      </w:r>
    </w:p>
    <w:p w:rsidR="00E239D2" w:rsidRPr="004504F2" w:rsidRDefault="00E239D2" w:rsidP="004504F2">
      <w:pPr>
        <w:jc w:val="both"/>
      </w:pPr>
    </w:p>
    <w:p w:rsidR="00E239D2" w:rsidRPr="004504F2" w:rsidRDefault="00E239D2" w:rsidP="004504F2">
      <w:pPr>
        <w:jc w:val="both"/>
      </w:pPr>
      <w:r w:rsidRPr="004504F2">
        <w:t xml:space="preserve">My final observation from mental health development is that we cannot address bits of a system which is supposedly there to engage with people who in reality are on a journey and who at various stages of that journey will require different elements of that system.  What we developed was the patient pathway – an analysis of the routes by which people came into the system, what was most appropriate for them at that time and what were the routes through and out of it.  This is not radical – we have seen it excellently initiated in GIRFEC and the whole systems approach and we have often suggested that these would be good principles to adopt for those in the justice system.  If prison is of value then it is as part of a continuum of support, intervention and rehabilitation or recovery, just as a hospital is only sustainable if there are appropriate and effective primary care services in the community.  </w:t>
      </w:r>
    </w:p>
    <w:p w:rsidR="00E239D2" w:rsidRPr="004504F2" w:rsidRDefault="00E239D2" w:rsidP="004504F2">
      <w:pPr>
        <w:jc w:val="both"/>
      </w:pPr>
    </w:p>
    <w:p w:rsidR="00E239D2" w:rsidRPr="004504F2" w:rsidRDefault="00E239D2" w:rsidP="004504F2">
      <w:pPr>
        <w:jc w:val="both"/>
      </w:pPr>
      <w:r w:rsidRPr="004504F2">
        <w:t xml:space="preserve">To address the length of sentences, however laudable, is not something which I personally believe can be done in isolation because the issue is not what can we do to discourage inefficient use of the prison facility, it is what are we going to put in place which is better?  </w:t>
      </w: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Pr="004504F2" w:rsidRDefault="00E239D2" w:rsidP="004504F2">
      <w:pPr>
        <w:jc w:val="both"/>
      </w:pPr>
    </w:p>
    <w:p w:rsidR="00E239D2" w:rsidRPr="004504F2" w:rsidRDefault="00E239D2" w:rsidP="004504F2">
      <w:pPr>
        <w:jc w:val="both"/>
      </w:pPr>
    </w:p>
    <w:p w:rsidR="00E239D2" w:rsidRPr="004504F2" w:rsidRDefault="00E239D2" w:rsidP="004504F2">
      <w:pPr>
        <w:ind w:right="521"/>
        <w:jc w:val="both"/>
        <w:rPr>
          <w:b/>
        </w:rPr>
      </w:pPr>
      <w:r w:rsidRPr="004504F2">
        <w:rPr>
          <w:b/>
        </w:rPr>
        <w:t xml:space="preserve">Sentencing &amp; Penal Policy in the New </w:t>
      </w:r>
      <w:smartTag w:uri="urn:schemas-microsoft-com:office:smarttags" w:element="country-region">
        <w:smartTag w:uri="urn:schemas-microsoft-com:office:smarttags" w:element="place">
          <w:r w:rsidRPr="004504F2">
            <w:rPr>
              <w:b/>
            </w:rPr>
            <w:t>Scotland</w:t>
          </w:r>
        </w:smartTag>
      </w:smartTag>
      <w:r w:rsidRPr="004504F2">
        <w:rPr>
          <w:b/>
        </w:rPr>
        <w:t>.</w:t>
      </w:r>
    </w:p>
    <w:p w:rsidR="00E239D2" w:rsidRPr="004504F2" w:rsidRDefault="00E239D2" w:rsidP="004504F2">
      <w:pPr>
        <w:ind w:right="521"/>
        <w:contextualSpacing/>
        <w:jc w:val="both"/>
      </w:pPr>
      <w:r w:rsidRPr="004504F2">
        <w:t xml:space="preserve">Dr </w:t>
      </w:r>
      <w:smartTag w:uri="urn:schemas-microsoft-com:office:smarttags" w:element="PersonName">
        <w:r w:rsidRPr="004504F2">
          <w:t>Cyrus Tata</w:t>
        </w:r>
      </w:smartTag>
    </w:p>
    <w:p w:rsidR="00E239D2" w:rsidRPr="004504F2" w:rsidRDefault="00E239D2" w:rsidP="004504F2">
      <w:pPr>
        <w:ind w:right="521"/>
        <w:contextualSpacing/>
        <w:jc w:val="both"/>
      </w:pPr>
      <w:r w:rsidRPr="004504F2">
        <w:t xml:space="preserve">Professor of Law &amp; Criminal Justice, </w:t>
      </w:r>
      <w:smartTag w:uri="urn:schemas-microsoft-com:office:smarttags" w:element="place">
        <w:smartTag w:uri="urn:schemas-microsoft-com:office:smarttags" w:element="PlaceName">
          <w:r w:rsidRPr="004504F2">
            <w:t>Strathclyde</w:t>
          </w:r>
        </w:smartTag>
        <w:r w:rsidRPr="004504F2">
          <w:t xml:space="preserve"> </w:t>
        </w:r>
        <w:smartTag w:uri="urn:schemas-microsoft-com:office:smarttags" w:element="PlaceType">
          <w:r w:rsidRPr="004504F2">
            <w:t>University</w:t>
          </w:r>
        </w:smartTag>
      </w:smartTag>
    </w:p>
    <w:p w:rsidR="00E239D2" w:rsidRPr="004504F2" w:rsidRDefault="00E239D2" w:rsidP="004504F2">
      <w:pPr>
        <w:ind w:right="521"/>
        <w:jc w:val="both"/>
      </w:pPr>
    </w:p>
    <w:p w:rsidR="00E239D2" w:rsidRPr="004504F2" w:rsidRDefault="00E239D2" w:rsidP="004504F2">
      <w:pPr>
        <w:ind w:right="521"/>
        <w:jc w:val="both"/>
        <w:rPr>
          <w:b/>
        </w:rPr>
      </w:pPr>
      <w:r w:rsidRPr="004504F2">
        <w:rPr>
          <w:b/>
        </w:rPr>
        <w:t>A New Era?</w:t>
      </w:r>
    </w:p>
    <w:p w:rsidR="00E239D2" w:rsidRPr="004504F2" w:rsidRDefault="00E239D2" w:rsidP="004504F2">
      <w:pPr>
        <w:ind w:right="521"/>
        <w:jc w:val="both"/>
      </w:pPr>
      <w:r w:rsidRPr="004504F2">
        <w:t xml:space="preserve">In its desire to ensure that </w:t>
      </w:r>
      <w:smartTag w:uri="urn:schemas-microsoft-com:office:smarttags" w:element="country-region">
        <w:r w:rsidRPr="004504F2">
          <w:t>Scotland</w:t>
        </w:r>
      </w:smartTag>
      <w:r w:rsidRPr="004504F2">
        <w:t xml:space="preserve"> has “the most progressive justice system in </w:t>
      </w:r>
      <w:smartTag w:uri="urn:schemas-microsoft-com:office:smarttags" w:element="place">
        <w:r w:rsidRPr="004504F2">
          <w:t>Europe</w:t>
        </w:r>
      </w:smartTag>
      <w:r w:rsidRPr="004504F2">
        <w:t>”</w:t>
      </w:r>
      <w:r w:rsidRPr="004504F2">
        <w:rPr>
          <w:rStyle w:val="FootnoteReference"/>
        </w:rPr>
        <w:footnoteReference w:id="1"/>
      </w:r>
      <w:r w:rsidRPr="004504F2">
        <w:t>, the Scottish Government is committed to a radical reduction in the prison population.  While successive administrations have made this their aim, there now appears to be greater intent. The Justice Secretary has said, for example:</w:t>
      </w:r>
    </w:p>
    <w:p w:rsidR="00E239D2" w:rsidRPr="004504F2" w:rsidRDefault="00E239D2" w:rsidP="004504F2">
      <w:pPr>
        <w:ind w:left="709" w:right="521"/>
        <w:jc w:val="both"/>
      </w:pPr>
      <w:r w:rsidRPr="004504F2">
        <w:t xml:space="preserve">“I truly believe that there is no good reason why </w:t>
      </w:r>
      <w:smartTag w:uri="urn:schemas-microsoft-com:office:smarttags" w:element="place">
        <w:smartTag w:uri="urn:schemas-microsoft-com:office:smarttags" w:element="country-region">
          <w:r w:rsidRPr="004504F2">
            <w:t>Scotland</w:t>
          </w:r>
        </w:smartTag>
      </w:smartTag>
      <w:r w:rsidRPr="004504F2">
        <w:t xml:space="preserve"> should have such a high prison population. Of course, for some individuals - people who have committed the most serious offences and those who pose a risk to public safety - prison remains absolutely necessary. But for too long in this country prison has been seen as the default sentencing option when someone breaks the law.”</w:t>
      </w:r>
      <w:r w:rsidRPr="004504F2">
        <w:rPr>
          <w:rStyle w:val="FootnoteReference"/>
        </w:rPr>
        <w:footnoteReference w:id="2"/>
      </w:r>
      <w:r w:rsidRPr="004504F2">
        <w:t xml:space="preserve"> </w:t>
      </w:r>
    </w:p>
    <w:p w:rsidR="00E239D2" w:rsidRPr="004504F2" w:rsidRDefault="00E239D2" w:rsidP="004504F2">
      <w:pPr>
        <w:ind w:right="521"/>
        <w:jc w:val="both"/>
      </w:pPr>
      <w:r w:rsidRPr="004504F2">
        <w:t>Currently, Scotland has one of the highest proportionate rates of imprisonment in western Europe. The current Justice Secretary, Michael Matheson, has described this position as “totally unacceptable”.</w:t>
      </w:r>
      <w:r w:rsidRPr="004504F2">
        <w:rPr>
          <w:rStyle w:val="FootnoteReference"/>
        </w:rPr>
        <w:footnoteReference w:id="3"/>
      </w:r>
      <w:r w:rsidRPr="004504F2">
        <w:t xml:space="preserve"> He wants to radically reduce the size of the prison population so that investment can be switched from incarceration to community penalties.  </w:t>
      </w:r>
    </w:p>
    <w:p w:rsidR="00E239D2" w:rsidRPr="004504F2" w:rsidRDefault="00E239D2" w:rsidP="004504F2">
      <w:pPr>
        <w:ind w:right="521"/>
        <w:jc w:val="both"/>
        <w:rPr>
          <w:b/>
        </w:rPr>
      </w:pPr>
    </w:p>
    <w:p w:rsidR="00E239D2" w:rsidRPr="004504F2" w:rsidRDefault="00E239D2" w:rsidP="004504F2">
      <w:pPr>
        <w:ind w:right="521"/>
        <w:jc w:val="both"/>
        <w:rPr>
          <w:b/>
        </w:rPr>
      </w:pPr>
      <w:r w:rsidRPr="004504F2">
        <w:rPr>
          <w:b/>
        </w:rPr>
        <w:t xml:space="preserve">A Shrewd Political Plan? </w:t>
      </w:r>
    </w:p>
    <w:p w:rsidR="00E239D2" w:rsidRPr="004504F2" w:rsidRDefault="00E239D2" w:rsidP="004504F2">
      <w:pPr>
        <w:ind w:right="521"/>
        <w:jc w:val="both"/>
      </w:pPr>
      <w:r w:rsidRPr="004504F2">
        <w:t xml:space="preserve">Importantly, such a switch is expected to be achieved through a more sharply bifurcated penal policy. While the Scottish Government’s decision to cancel the building of a new Women’s Prison at Inverclyde has been celebrated as a victory by reformers, it is less well known that at the same time the Scottish Government pursued legislation which will result in significantly increased prison numbers. </w:t>
      </w:r>
    </w:p>
    <w:p w:rsidR="00E239D2" w:rsidRPr="004504F2" w:rsidRDefault="00E239D2" w:rsidP="004504F2">
      <w:pPr>
        <w:ind w:right="521"/>
        <w:jc w:val="both"/>
      </w:pPr>
    </w:p>
    <w:p w:rsidR="00E239D2" w:rsidRPr="004504F2" w:rsidRDefault="00E239D2" w:rsidP="004504F2">
      <w:pPr>
        <w:ind w:right="521"/>
        <w:jc w:val="both"/>
      </w:pPr>
      <w:r w:rsidRPr="004504F2">
        <w:t xml:space="preserve">In 2015 the Scottish Government, eschewing any consultation process, pushed through new legislation purporting to abolish so-called ‘automatic early release’ – a term which derides the reality of guaranteed conditional support and community supervision of people released after long periods of incarceration, so aiding public safety.  </w:t>
      </w:r>
    </w:p>
    <w:p w:rsidR="00E239D2" w:rsidRPr="004504F2" w:rsidRDefault="00E239D2" w:rsidP="004504F2">
      <w:pPr>
        <w:ind w:right="521"/>
        <w:jc w:val="both"/>
      </w:pPr>
      <w:r w:rsidRPr="004504F2">
        <w:t>The Prisoners Control of Release (S) Act 2015 will radically cut the mandatory period of support and supervision of those long-term (i.e. four year plus) prisoners deemed too risky to release through discretionary parole.  The financial implications of the Bill are considerable. At the time of the passage of the Stage 2, the Scottish Government estimated that the annual additional cost of changing the current system of automatic early release for all long-term prisoners will rise from £4.6m in 2019/20 (when it begins to take effect) to £16.7m by 2030/31.</w:t>
      </w:r>
      <w:r w:rsidRPr="004504F2">
        <w:rPr>
          <w:rStyle w:val="FootnoteReference"/>
        </w:rPr>
        <w:footnoteReference w:id="4"/>
      </w:r>
      <w:r w:rsidRPr="004504F2">
        <w:t xml:space="preserve"> To put this in context, the projected annual cost of these proposals in 2030/31 represents more than half of the Scottish Government’s current budget for community justice (£31.8m in 2015/16).</w:t>
      </w:r>
      <w:r w:rsidRPr="004504F2">
        <w:rPr>
          <w:rStyle w:val="FootnoteReference"/>
        </w:rPr>
        <w:footnoteReference w:id="5"/>
      </w:r>
      <w:r w:rsidRPr="004504F2">
        <w:t xml:space="preserve"> Importantly, this estimate does not appear to take account of the likely consequent increased use of Extended Sentences. As a direct consequence of cutting the mandatory period of community supervision to just six months, the Scottish Government appears to expect that judges may impose more Extended Sentences so as to ensure that individuals are monitored, supported and supervised for a longer period of time than six months.</w:t>
      </w:r>
      <w:r w:rsidRPr="004504F2">
        <w:rPr>
          <w:rStyle w:val="FootnoteReference"/>
        </w:rPr>
        <w:footnoteReference w:id="6"/>
      </w:r>
      <w:r w:rsidRPr="004504F2">
        <w:t xml:space="preserve"> </w:t>
      </w:r>
    </w:p>
    <w:p w:rsidR="00E239D2" w:rsidRPr="004504F2" w:rsidRDefault="00E239D2" w:rsidP="004504F2">
      <w:pPr>
        <w:ind w:right="521"/>
        <w:jc w:val="both"/>
      </w:pPr>
      <w:r w:rsidRPr="004504F2">
        <w:t xml:space="preserve">When asked in Parliament, the Cabinet Secretary for Justice indicated that these costs would be met by savings made by </w:t>
      </w:r>
    </w:p>
    <w:p w:rsidR="00E239D2" w:rsidRPr="004504F2" w:rsidRDefault="00E239D2" w:rsidP="004504F2">
      <w:pPr>
        <w:ind w:left="709" w:right="521"/>
        <w:jc w:val="both"/>
      </w:pPr>
      <w:r w:rsidRPr="004504F2">
        <w:rPr>
          <w:i/>
        </w:rPr>
        <w:t>“other changes that are to be introduced in the system, such as a presumption against short sentences, greater use of alternatives to custody, changes in sentencing practice…and alternatives to the traditional custodial estate”.</w:t>
      </w:r>
      <w:r w:rsidRPr="004504F2">
        <w:t xml:space="preserve"> </w:t>
      </w:r>
    </w:p>
    <w:p w:rsidR="00E239D2" w:rsidRPr="004504F2" w:rsidRDefault="00E239D2" w:rsidP="004504F2">
      <w:pPr>
        <w:ind w:right="521"/>
        <w:jc w:val="both"/>
      </w:pPr>
      <w:r w:rsidRPr="004504F2">
        <w:t xml:space="preserve">So the thinking is that this intended increase in prison population can and will be counteracted by a radical approach to dealing with short-term prisoners. </w:t>
      </w:r>
    </w:p>
    <w:p w:rsidR="00E239D2" w:rsidRPr="004504F2" w:rsidRDefault="00E239D2" w:rsidP="004504F2">
      <w:pPr>
        <w:ind w:right="521"/>
        <w:jc w:val="both"/>
      </w:pPr>
      <w:r w:rsidRPr="004504F2">
        <w:t xml:space="preserve">The political strategy will be familiar to seasoned observers of penal policy: look tough on serious offenders in order to de-carcerate at the lower end. </w:t>
      </w:r>
    </w:p>
    <w:p w:rsidR="00E239D2" w:rsidRPr="004504F2" w:rsidRDefault="00E239D2" w:rsidP="004504F2">
      <w:pPr>
        <w:ind w:right="521"/>
        <w:jc w:val="both"/>
      </w:pPr>
      <w:r w:rsidRPr="004504F2">
        <w:t>Being tough on long-term prisoners is, of course, the easy bit. Now for the hard part: until now little headway has been made in Scotland in the quest to reduce the use of imprisonment at the lower end (nor south of the border which has tried similar political strategy).</w:t>
      </w:r>
    </w:p>
    <w:p w:rsidR="00E239D2" w:rsidRPr="004504F2" w:rsidRDefault="00E239D2" w:rsidP="004504F2">
      <w:pPr>
        <w:ind w:right="521"/>
        <w:jc w:val="both"/>
      </w:pPr>
    </w:p>
    <w:p w:rsidR="00E239D2" w:rsidRPr="004504F2" w:rsidRDefault="00E239D2" w:rsidP="004504F2">
      <w:pPr>
        <w:ind w:right="521"/>
        <w:jc w:val="both"/>
      </w:pPr>
      <w:r w:rsidRPr="004504F2">
        <w:t>Presently, extending the presumption against short custodial sentences appears to be the main tool in the Government’s box.</w:t>
      </w:r>
    </w:p>
    <w:p w:rsidR="00E239D2" w:rsidRPr="004504F2" w:rsidRDefault="00E239D2" w:rsidP="004504F2">
      <w:pPr>
        <w:ind w:right="521"/>
        <w:jc w:val="both"/>
      </w:pPr>
    </w:p>
    <w:p w:rsidR="00E239D2" w:rsidRPr="004504F2" w:rsidRDefault="00E239D2" w:rsidP="004504F2">
      <w:pPr>
        <w:ind w:right="521"/>
        <w:jc w:val="both"/>
        <w:rPr>
          <w:b/>
        </w:rPr>
      </w:pPr>
      <w:r w:rsidRPr="004504F2">
        <w:rPr>
          <w:b/>
        </w:rPr>
        <w:t>Hitting the Target : Sentence Length or Case Seriousness?</w:t>
      </w:r>
    </w:p>
    <w:p w:rsidR="00E239D2" w:rsidRPr="004504F2" w:rsidRDefault="00E239D2" w:rsidP="004504F2">
      <w:pPr>
        <w:ind w:right="521"/>
        <w:jc w:val="both"/>
      </w:pPr>
      <w:r w:rsidRPr="004504F2">
        <w:t>Importantly, the argument for reducing the prison population tends to be based not only on its relative ineffectiveness compared to non-custodial sanctions in similar cases.</w:t>
      </w:r>
      <w:r w:rsidRPr="004504F2">
        <w:rPr>
          <w:rStyle w:val="FootnoteReference"/>
        </w:rPr>
        <w:footnoteReference w:id="7"/>
      </w:r>
      <w:r w:rsidRPr="004504F2">
        <w:t xml:space="preserve">  It is also based on a claim about proportionality: that imprisoning some people for some kinds of offences is unnecessary, disproportionate, and therefore a waste of money. Indeed the view can be traced back at least as far as the 2008 Prison Commission report which argued for the reduction in the use of short prison sentences on grounds of proportionality and that prison should be reserved for those committing the most serious offences and those posing a risk of serious harm.</w:t>
      </w:r>
      <w:r w:rsidRPr="004504F2">
        <w:rPr>
          <w:rStyle w:val="FootnoteReference"/>
        </w:rPr>
        <w:footnoteReference w:id="8"/>
      </w:r>
      <w:r w:rsidRPr="004504F2">
        <w:t xml:space="preserve">  So in other words the ultimate point is not in fact an argument against short-terms of imprisonment per se. Rather, it seems that the Presumption policy is using length of imprisonment as a </w:t>
      </w:r>
      <w:r w:rsidRPr="004504F2">
        <w:rPr>
          <w:i/>
        </w:rPr>
        <w:t>proxy</w:t>
      </w:r>
      <w:r w:rsidRPr="004504F2">
        <w:t xml:space="preserve"> for those cases deemed less serious or posing a lesser risk of serious harm. But length of sentence is a very crude proxy for seriousness of offending and risk of serious harm. Arguably, it would be a more direct and clearer method to specify the kinds of cases which, as a matter of proportionality, would be normally non-imprisonable. This is the sort of careful work which could be led by the Scottish Sentencing Council in drafting Sentencing Guidelines.</w:t>
      </w:r>
    </w:p>
    <w:p w:rsidR="00E239D2" w:rsidRPr="004504F2" w:rsidRDefault="00E239D2" w:rsidP="004504F2">
      <w:pPr>
        <w:ind w:right="521"/>
        <w:jc w:val="both"/>
      </w:pPr>
    </w:p>
    <w:p w:rsidR="00E239D2" w:rsidRPr="004504F2" w:rsidRDefault="00E239D2" w:rsidP="004504F2">
      <w:pPr>
        <w:ind w:right="521"/>
        <w:jc w:val="both"/>
      </w:pPr>
      <w:r w:rsidRPr="004504F2">
        <w:t>That said, the immediate option being presented by the Scottish Government is to extend the presumption against short custodial sentences. So let us examine the likely impact of extending it.</w:t>
      </w:r>
    </w:p>
    <w:p w:rsidR="00E239D2" w:rsidRPr="004504F2" w:rsidRDefault="00E239D2" w:rsidP="004504F2">
      <w:pPr>
        <w:ind w:right="521"/>
        <w:jc w:val="both"/>
      </w:pPr>
    </w:p>
    <w:p w:rsidR="00E239D2" w:rsidRPr="004504F2" w:rsidRDefault="00E239D2" w:rsidP="004504F2">
      <w:pPr>
        <w:ind w:right="521"/>
        <w:jc w:val="both"/>
        <w:rPr>
          <w:b/>
        </w:rPr>
      </w:pPr>
      <w:r w:rsidRPr="004504F2">
        <w:rPr>
          <w:b/>
        </w:rPr>
        <w:t>What difference will Extending the Presumption Make?</w:t>
      </w:r>
    </w:p>
    <w:p w:rsidR="00E239D2" w:rsidRPr="004504F2" w:rsidRDefault="00E239D2" w:rsidP="004504F2">
      <w:pPr>
        <w:ind w:right="521"/>
        <w:jc w:val="both"/>
      </w:pPr>
      <w:r w:rsidRPr="004504F2">
        <w:t>Currently, there is a presumption against sentences of three months or less.  The question being posed by the Scottish Government is whether this should be extended from three to six, nine or even 12 months.  According to the Government’s own commissioned research, the three month presumption has “has had little impact on sentencing decisions.”</w:t>
      </w:r>
      <w:r w:rsidRPr="004504F2">
        <w:rPr>
          <w:rStyle w:val="FootnoteReference"/>
        </w:rPr>
        <w:footnoteReference w:id="9"/>
      </w:r>
      <w:r w:rsidRPr="004504F2">
        <w:t xml:space="preserve"> One reason is sentence inflation. Rather than passing sentences of say three months, some sentencers, appear to have passed slightly longer sentences.</w:t>
      </w:r>
      <w:r w:rsidRPr="004504F2">
        <w:rPr>
          <w:rStyle w:val="FootnoteReference"/>
        </w:rPr>
        <w:footnoteReference w:id="10"/>
      </w:r>
      <w:r w:rsidRPr="004504F2">
        <w:t xml:space="preserve"> This phenomenon, predicted at the time of the passage of the legislation</w:t>
      </w:r>
      <w:r w:rsidRPr="004504F2">
        <w:rPr>
          <w:rStyle w:val="FootnoteReference"/>
        </w:rPr>
        <w:footnoteReference w:id="11"/>
      </w:r>
      <w:r w:rsidRPr="004504F2">
        <w:t>, has been found in other countries.</w:t>
      </w:r>
      <w:r w:rsidRPr="004504F2">
        <w:rPr>
          <w:rStyle w:val="FootnoteReference"/>
        </w:rPr>
        <w:footnoteReference w:id="12"/>
      </w:r>
    </w:p>
    <w:p w:rsidR="00E239D2" w:rsidRPr="004504F2" w:rsidRDefault="00E239D2" w:rsidP="004504F2">
      <w:pPr>
        <w:ind w:right="521"/>
        <w:jc w:val="both"/>
      </w:pPr>
      <w:r w:rsidRPr="004504F2">
        <w:t xml:space="preserve">If the presumption against sentences of three months has not worked should the presumption be extended?  </w:t>
      </w:r>
    </w:p>
    <w:p w:rsidR="00E239D2" w:rsidRPr="004504F2" w:rsidRDefault="00E239D2" w:rsidP="004504F2">
      <w:pPr>
        <w:ind w:right="521"/>
        <w:jc w:val="both"/>
      </w:pPr>
      <w:r w:rsidRPr="004504F2">
        <w:t>In the same way as the three month presumption has had made little net difference, so a longer period is unlikely to make much difference. Indeed, given that the main effect has been inflationary it would seem futile to extend it to anything less than 12 months – consistent with maximum summary powers. Yet even if the presumption is extended to twelve months, it may still not achieve much.</w:t>
      </w:r>
    </w:p>
    <w:p w:rsidR="00E239D2" w:rsidRPr="004504F2" w:rsidRDefault="00E239D2" w:rsidP="004504F2">
      <w:pPr>
        <w:ind w:right="521"/>
        <w:jc w:val="both"/>
      </w:pPr>
      <w:r w:rsidRPr="004504F2">
        <w:t>To understand the problem, let us remind ourselves of two things. First, fresh legislation is not being suggested by the consultation. An extension to the presumption will be achieved by altering the number of months by statutory instrument. Secondly, we therefore need to  examine the relevant legislation. Section 17 of the Criminal justice and Licensing (S) Act 2010 states:</w:t>
      </w:r>
    </w:p>
    <w:p w:rsidR="00E239D2" w:rsidRPr="004504F2" w:rsidRDefault="00E239D2" w:rsidP="004504F2">
      <w:pPr>
        <w:ind w:left="709" w:right="521"/>
        <w:jc w:val="both"/>
      </w:pPr>
      <w:r w:rsidRPr="004504F2">
        <w:t xml:space="preserve">“A court must not pass a sentence of imprisonment for a term of 3 months or less on a person </w:t>
      </w:r>
      <w:r w:rsidRPr="004504F2">
        <w:rPr>
          <w:i/>
        </w:rPr>
        <w:t>unless the court considers that no other method of dealing with the person is appropriate</w:t>
      </w:r>
      <w:r w:rsidRPr="004504F2">
        <w:t>.” (emphasis added)</w:t>
      </w:r>
    </w:p>
    <w:p w:rsidR="00E239D2" w:rsidRPr="004504F2" w:rsidRDefault="00E239D2" w:rsidP="004504F2">
      <w:pPr>
        <w:ind w:right="521"/>
        <w:jc w:val="both"/>
      </w:pPr>
      <w:r w:rsidRPr="004504F2">
        <w:t xml:space="preserve"> All legislation contains caveats, of course.  Yet, the caveat in section 17 could hardly be more permissive: the sentencer must not impose a sentence of x months or less unless s/he considers it appropriate.  Does any sentencer, (or for that matter anyone), make a decision which she or he considers </w:t>
      </w:r>
      <w:r w:rsidRPr="004504F2">
        <w:rPr>
          <w:i/>
        </w:rPr>
        <w:t>in</w:t>
      </w:r>
      <w:r w:rsidRPr="004504F2">
        <w:t xml:space="preserve">appropriate? </w:t>
      </w:r>
    </w:p>
    <w:p w:rsidR="00E239D2" w:rsidRPr="004504F2" w:rsidRDefault="00E239D2" w:rsidP="004504F2">
      <w:pPr>
        <w:ind w:right="521"/>
        <w:jc w:val="both"/>
      </w:pPr>
      <w:r w:rsidRPr="004504F2">
        <w:t>To put it crudely, the legislation states: don’t do something unless you consider that you should do it. Little wonder then that “there was little sign of [the presumption] figuring prominently or explicitly in decision-making”.</w:t>
      </w:r>
      <w:r w:rsidRPr="004504F2">
        <w:rPr>
          <w:rStyle w:val="FootnoteReference"/>
        </w:rPr>
        <w:footnoteReference w:id="13"/>
      </w:r>
    </w:p>
    <w:p w:rsidR="00E239D2" w:rsidRPr="004504F2" w:rsidRDefault="00E239D2" w:rsidP="004504F2">
      <w:pPr>
        <w:ind w:right="521"/>
        <w:jc w:val="both"/>
      </w:pPr>
      <w:r w:rsidRPr="004504F2">
        <w:t xml:space="preserve">It should be recognised that section 17 includes a requirement that where a court passes a sentence in excess of the presumption limit, </w:t>
      </w:r>
    </w:p>
    <w:p w:rsidR="00E239D2" w:rsidRPr="004504F2" w:rsidRDefault="00E239D2" w:rsidP="004504F2">
      <w:pPr>
        <w:ind w:left="709" w:right="521"/>
        <w:jc w:val="both"/>
      </w:pPr>
      <w:r w:rsidRPr="004504F2">
        <w:t xml:space="preserve">“the court must: (a) state its reasons for the opinion that no other method of dealing with the person is appropriate, and (b)have those reasons entered in the record of the proceedings.” </w:t>
      </w:r>
    </w:p>
    <w:p w:rsidR="00E239D2" w:rsidRPr="004504F2" w:rsidRDefault="00E239D2" w:rsidP="004504F2">
      <w:pPr>
        <w:ind w:right="521"/>
        <w:jc w:val="both"/>
      </w:pPr>
      <w:r w:rsidRPr="004504F2">
        <w:t>However, this is hardly a challenging requirement. Compliance can be fulfilled simply by noting a non-custodial sentence was ‘not appropriate’. Indeed, consistent with previous research we should expect that in such circumstances the reasons given for such decisions are likely to be bland, uninformative, and routine.</w:t>
      </w:r>
      <w:r w:rsidRPr="004504F2">
        <w:rPr>
          <w:vertAlign w:val="superscript"/>
        </w:rPr>
        <w:footnoteReference w:id="14"/>
      </w:r>
    </w:p>
    <w:p w:rsidR="00E239D2" w:rsidRPr="004504F2" w:rsidRDefault="00E239D2" w:rsidP="004504F2">
      <w:pPr>
        <w:ind w:right="521"/>
        <w:jc w:val="both"/>
      </w:pPr>
      <w:r w:rsidRPr="004504F2">
        <w:t xml:space="preserve">So we should expect that the extension to 12 months is unlikely to have much effect on sentencing practice: at best it is a reminder to sentencers of the existing injunction that custody should be ‘a last resort’. </w:t>
      </w:r>
    </w:p>
    <w:p w:rsidR="00E239D2" w:rsidRPr="004504F2" w:rsidRDefault="00E239D2" w:rsidP="004504F2">
      <w:pPr>
        <w:ind w:right="521"/>
        <w:jc w:val="both"/>
      </w:pPr>
      <w:r w:rsidRPr="004504F2">
        <w:t xml:space="preserve">Why, then, do sentencers believe it is appropriate to pass short custodial sentences? The answer lies not, as is sometimes suggested, as a wilful disdain for the intention of Parliament nor with a wholly irrational fixation with custody.  </w:t>
      </w:r>
    </w:p>
    <w:p w:rsidR="00E239D2" w:rsidRPr="004504F2" w:rsidRDefault="00E239D2" w:rsidP="004504F2">
      <w:pPr>
        <w:ind w:right="521"/>
        <w:jc w:val="both"/>
      </w:pPr>
      <w:r w:rsidRPr="004504F2">
        <w:t xml:space="preserve">There are two main reasons in the minds of many sentencers: first, a widespread perception of insufficiently credible and community-based sentences </w:t>
      </w:r>
      <w:r w:rsidRPr="004504F2">
        <w:rPr>
          <w:i/>
        </w:rPr>
        <w:t>compared with</w:t>
      </w:r>
      <w:r w:rsidRPr="004504F2">
        <w:t xml:space="preserve"> imprisonment; and secondly a feeling that there has to be ‘a last resort’ for those who do not comply with community based sentences. Let us briefly examine these two concerns.</w:t>
      </w:r>
    </w:p>
    <w:p w:rsidR="00E239D2" w:rsidRPr="004504F2" w:rsidRDefault="00E239D2" w:rsidP="004504F2">
      <w:pPr>
        <w:ind w:right="521"/>
        <w:jc w:val="both"/>
      </w:pPr>
    </w:p>
    <w:p w:rsidR="00E239D2" w:rsidRPr="004504F2" w:rsidRDefault="00E239D2" w:rsidP="004504F2">
      <w:pPr>
        <w:ind w:right="521"/>
        <w:jc w:val="both"/>
        <w:rPr>
          <w:b/>
        </w:rPr>
      </w:pPr>
      <w:r w:rsidRPr="004504F2">
        <w:rPr>
          <w:b/>
        </w:rPr>
        <w:t>Credibility: why ‘custody as the last resort’ fails</w:t>
      </w:r>
    </w:p>
    <w:p w:rsidR="00E239D2" w:rsidRPr="004504F2" w:rsidRDefault="00E239D2" w:rsidP="004504F2">
      <w:pPr>
        <w:ind w:right="521"/>
        <w:jc w:val="both"/>
      </w:pPr>
      <w:r w:rsidRPr="004504F2">
        <w:t xml:space="preserve">That non-custodial sentences are not considered by sentencers (or others) as credible, robust, visible, or immediate as imprisonment is hardly new. Indeed the dominant policy view that ‘custody is a last resort’ ends up meaning in practice that custody becomes the default.  When other options don’t seem to work, there is always prison. When one runs out of options, there is prison. The language of ‘last resort’ in effect renders prison as the default. All other options have to prove themselves to be ‘appropriate’ and if they fail to do so, there is always prison. Prison is guaranteed and seen as ever-reliable. While non-custodial sentences and social services seem so stretched, imprisonment, on the other hand, appears as the dependable, credible and well-resourced default. As one sheriff interviewee put it: </w:t>
      </w:r>
    </w:p>
    <w:p w:rsidR="00E239D2" w:rsidRPr="004504F2" w:rsidRDefault="00E239D2" w:rsidP="004504F2">
      <w:pPr>
        <w:ind w:left="709" w:right="521"/>
        <w:jc w:val="both"/>
      </w:pPr>
      <w:r w:rsidRPr="004504F2">
        <w:t>“ ‘really when I’m imposing short [prison] sentences, that’s when we’ve run out of ideas!’”</w:t>
      </w:r>
      <w:r w:rsidRPr="004504F2">
        <w:rPr>
          <w:rStyle w:val="FootnoteReference"/>
        </w:rPr>
        <w:footnoteReference w:id="15"/>
      </w:r>
      <w:r w:rsidRPr="004504F2">
        <w:t xml:space="preserve"> </w:t>
      </w:r>
    </w:p>
    <w:p w:rsidR="00E239D2" w:rsidRPr="004504F2" w:rsidRDefault="00E239D2" w:rsidP="004504F2">
      <w:pPr>
        <w:ind w:right="521"/>
        <w:jc w:val="both"/>
      </w:pPr>
      <w:r w:rsidRPr="004504F2">
        <w:t>The language and mentality of custody as ‘the last resort’ is a central problem. We need to relinquish it. Little will change unless and until we invert that thinking by beginning to specify certain circumstances and purposes as normally non-imprisonable.</w:t>
      </w:r>
    </w:p>
    <w:p w:rsidR="00E239D2" w:rsidRPr="004504F2" w:rsidRDefault="00E239D2" w:rsidP="004504F2">
      <w:pPr>
        <w:ind w:right="521"/>
        <w:jc w:val="both"/>
        <w:rPr>
          <w:i/>
        </w:rPr>
      </w:pPr>
    </w:p>
    <w:p w:rsidR="00E239D2" w:rsidRPr="004504F2" w:rsidRDefault="00E239D2" w:rsidP="004504F2">
      <w:pPr>
        <w:ind w:right="521"/>
        <w:jc w:val="both"/>
        <w:rPr>
          <w:i/>
        </w:rPr>
      </w:pPr>
      <w:r w:rsidRPr="004504F2">
        <w:rPr>
          <w:i/>
        </w:rPr>
        <w:t>Imprisonment and Needs</w:t>
      </w:r>
    </w:p>
    <w:p w:rsidR="00E239D2" w:rsidRPr="004504F2" w:rsidRDefault="00E239D2" w:rsidP="004504F2">
      <w:pPr>
        <w:ind w:right="521"/>
        <w:jc w:val="both"/>
      </w:pPr>
      <w:r w:rsidRPr="004504F2">
        <w:t xml:space="preserve">In many instances prison is used not because of the seriousness of offending but because nothing else seems good enough.  For instance, we are, as a society using imprisonment in part to access services for those who have not committed serious offences but are in desperate need of support and care.  Many people end up in prison not because their offending is particularly serious, nor because they pose any significant risk of serious harm. They end up in prison because there does not appear to be anywhere else that can address their chronic physical, mental health, addiction and other personal and social needs. While non-custodial sentences and social services are so stretched, imprisonment, on the other hand, appears as the dependable, credible and well-resourced default. </w:t>
      </w:r>
    </w:p>
    <w:p w:rsidR="00E239D2" w:rsidRPr="004504F2" w:rsidRDefault="00E239D2" w:rsidP="004504F2">
      <w:pPr>
        <w:ind w:right="521"/>
        <w:jc w:val="both"/>
      </w:pPr>
      <w:r w:rsidRPr="004504F2">
        <w:t xml:space="preserve">The result is self-perpetuating: resources are sucked into the seemingly credible, robust and reliable option of imprisonment at the expense of community-based programmes which </w:t>
      </w:r>
      <w:r w:rsidRPr="004504F2">
        <w:rPr>
          <w:i/>
        </w:rPr>
        <w:t>appear as</w:t>
      </w:r>
      <w:r w:rsidRPr="004504F2">
        <w:t xml:space="preserve"> weak, unreliable and poorly explained.</w:t>
      </w:r>
    </w:p>
    <w:p w:rsidR="00E239D2" w:rsidRPr="004504F2" w:rsidRDefault="00E239D2" w:rsidP="004504F2">
      <w:pPr>
        <w:ind w:right="521"/>
        <w:jc w:val="both"/>
      </w:pPr>
      <w:r w:rsidRPr="004504F2">
        <w:t>One cannot exactly blame individual judicial decision-makers for coming to the sincerely held judgement that the only way to address the needs as well as deeds of some individuals is to impose custody (whether through remand or through sentence) because the community based services are so stretched.</w:t>
      </w:r>
    </w:p>
    <w:p w:rsidR="00E239D2" w:rsidRPr="004504F2" w:rsidRDefault="00E239D2" w:rsidP="004504F2">
      <w:pPr>
        <w:ind w:right="521"/>
        <w:jc w:val="both"/>
      </w:pPr>
      <w:r w:rsidRPr="004504F2">
        <w:t>This phenomenon will become even more acute, unless action is taken to preclude it. Over the next few years we will see further deep cuts to community justice and indeed the very community services on which community justice relies.  Meanwhile, prisons are better resourced than they were. Thankfully, prisons are not as degrading as they used to be and the regimes are more constructive. That is of course a good thing, but the unintended consequence of these two developments, (improving rehabilitation in prison combined with the perception of deteriorating community justice), is likely to be that more needy individuals who commit (or are accused of) relatively minor offences will end up in custody. One cannot necessarily blame individual judicial decision-makers, prosecutors, social workers for seeing custody as the only ‘safe haven’ for such individuals. Yet in policy terms it makes no sense and is a dreadful waste of resources.</w:t>
      </w:r>
    </w:p>
    <w:p w:rsidR="00E239D2" w:rsidRPr="004504F2" w:rsidRDefault="00E239D2" w:rsidP="004504F2">
      <w:pPr>
        <w:ind w:right="521"/>
        <w:jc w:val="both"/>
      </w:pPr>
    </w:p>
    <w:p w:rsidR="00E239D2" w:rsidRPr="004504F2" w:rsidRDefault="00E239D2" w:rsidP="004504F2">
      <w:pPr>
        <w:ind w:right="521"/>
        <w:jc w:val="both"/>
        <w:rPr>
          <w:i/>
        </w:rPr>
      </w:pPr>
      <w:r w:rsidRPr="004504F2">
        <w:rPr>
          <w:i/>
        </w:rPr>
        <w:t>A Public Principle about what Prison is Not for.</w:t>
      </w:r>
    </w:p>
    <w:p w:rsidR="00E239D2" w:rsidRPr="004504F2" w:rsidRDefault="00E239D2" w:rsidP="004504F2">
      <w:pPr>
        <w:ind w:right="521"/>
        <w:jc w:val="both"/>
      </w:pPr>
      <w:r w:rsidRPr="004504F2">
        <w:t>A way counteract this understandable (yet tragic) situation and preclude its likely to growth is to set out a public principle that no one should be sentenced to imprisonment for their own needs (or rehabilitation).  The test for imprisonment should hinge on the seriousness of offending. Of course, if while in prison, serious offenders can be rehabilitated that is a good thing. But no one should go to prison for want of services in the community. Such a principle could be set out in a Sentencing Guideline judgement and also through guidance to social workers prosecutors.</w:t>
      </w:r>
      <w:r w:rsidRPr="004504F2">
        <w:rPr>
          <w:rStyle w:val="FootnoteReference"/>
        </w:rPr>
        <w:footnoteReference w:id="16"/>
      </w:r>
      <w:r w:rsidRPr="004504F2">
        <w:t xml:space="preserve"> </w:t>
      </w:r>
    </w:p>
    <w:p w:rsidR="00E239D2" w:rsidRPr="004504F2" w:rsidRDefault="00E239D2" w:rsidP="004504F2">
      <w:pPr>
        <w:ind w:right="521"/>
        <w:jc w:val="both"/>
      </w:pPr>
    </w:p>
    <w:p w:rsidR="00E239D2" w:rsidRPr="004504F2" w:rsidRDefault="00E239D2" w:rsidP="004504F2">
      <w:pPr>
        <w:ind w:right="521"/>
        <w:jc w:val="both"/>
        <w:rPr>
          <w:i/>
        </w:rPr>
      </w:pPr>
      <w:r w:rsidRPr="004504F2">
        <w:rPr>
          <w:i/>
        </w:rPr>
        <w:t>Electronically Monitored Bail</w:t>
      </w:r>
    </w:p>
    <w:p w:rsidR="00E239D2" w:rsidRPr="004504F2" w:rsidRDefault="00E239D2" w:rsidP="004504F2">
      <w:pPr>
        <w:ind w:right="521"/>
        <w:jc w:val="both"/>
      </w:pPr>
      <w:r w:rsidRPr="004504F2">
        <w:t>In terms of efforts to reduce the use of remand, electronically monitored bail should be revisited. It seems strange that we resort to custodial remand when EM is available as a means of control which is less stigmatising, allows the maintenance of relationships, employment, training, and is far less expensive.</w:t>
      </w:r>
      <w:r w:rsidRPr="004504F2">
        <w:rPr>
          <w:rStyle w:val="FootnoteReference"/>
        </w:rPr>
        <w:footnoteReference w:id="17"/>
      </w:r>
    </w:p>
    <w:p w:rsidR="00E239D2" w:rsidRPr="004504F2" w:rsidRDefault="00E239D2" w:rsidP="004504F2">
      <w:pPr>
        <w:ind w:right="521"/>
        <w:jc w:val="both"/>
      </w:pPr>
      <w:r w:rsidRPr="004504F2">
        <w:t xml:space="preserve">     </w:t>
      </w:r>
    </w:p>
    <w:p w:rsidR="00E239D2" w:rsidRPr="004504F2" w:rsidRDefault="00E239D2" w:rsidP="004504F2">
      <w:pPr>
        <w:ind w:right="521"/>
        <w:jc w:val="both"/>
      </w:pPr>
    </w:p>
    <w:p w:rsidR="00E239D2" w:rsidRPr="004504F2" w:rsidRDefault="00E239D2" w:rsidP="004504F2">
      <w:pPr>
        <w:ind w:right="521"/>
        <w:jc w:val="both"/>
        <w:rPr>
          <w:b/>
        </w:rPr>
      </w:pPr>
      <w:r w:rsidRPr="004504F2">
        <w:rPr>
          <w:b/>
        </w:rPr>
        <w:t>Persistence and Breach</w:t>
      </w:r>
    </w:p>
    <w:p w:rsidR="00E239D2" w:rsidRPr="004504F2" w:rsidRDefault="00E239D2" w:rsidP="004504F2">
      <w:pPr>
        <w:ind w:right="521"/>
        <w:jc w:val="both"/>
      </w:pPr>
      <w:r w:rsidRPr="004504F2">
        <w:t xml:space="preserve">It is often noted that some individuals do not comply with community penalties and so custody must be the sanction to uphold the authority of the court’s decision-making. This position is reasonable. </w:t>
      </w:r>
    </w:p>
    <w:p w:rsidR="00E239D2" w:rsidRPr="004504F2" w:rsidRDefault="00E239D2" w:rsidP="004504F2">
      <w:pPr>
        <w:ind w:right="521"/>
        <w:jc w:val="both"/>
      </w:pPr>
      <w:r w:rsidRPr="004504F2">
        <w:t>Yet, whether we sufficiently understand the journey away from offending is important here. The lessons from the (inaptly named) desistance approach are crucial: this shows us that the journey away from crime is far more contingent than we had previously realised.  Offending is not something which can be switched off like a tap. Lapses and relapses are inevitable, and the confidence of the individual that decision-makers really want him/her to succeed is important.</w:t>
      </w:r>
      <w:r w:rsidRPr="004504F2">
        <w:rPr>
          <w:rStyle w:val="FootnoteReference"/>
        </w:rPr>
        <w:footnoteReference w:id="18"/>
      </w:r>
      <w:r w:rsidRPr="004504F2">
        <w:t xml:space="preserve">  </w:t>
      </w:r>
    </w:p>
    <w:p w:rsidR="00E239D2" w:rsidRPr="004504F2" w:rsidRDefault="00E239D2" w:rsidP="004504F2">
      <w:pPr>
        <w:ind w:right="521"/>
        <w:jc w:val="both"/>
      </w:pPr>
      <w:r w:rsidRPr="004504F2">
        <w:t xml:space="preserve">In this respect the increased use of review hearings (recommended by the Prison Commission and the Commission on Women Offenders) may be valuable. Such hearings can enable the judicial decision-maker and individual to build up a sense of mutual understanding and genuine respect so that neither sees the decisions of the other as arbitrary or dismissive. Currently, while the use of review hearings is permissible, they are conducted </w:t>
      </w:r>
      <w:r w:rsidRPr="004504F2">
        <w:rPr>
          <w:i/>
        </w:rPr>
        <w:t>in spite of</w:t>
      </w:r>
      <w:r w:rsidRPr="004504F2">
        <w:t xml:space="preserve"> system incentives rather than because of them. Everyone has to get through their case load and the use of review hearings only adds to it.</w:t>
      </w:r>
    </w:p>
    <w:p w:rsidR="00E239D2" w:rsidRPr="004504F2" w:rsidRDefault="00E239D2" w:rsidP="004504F2">
      <w:pPr>
        <w:ind w:right="521"/>
        <w:jc w:val="both"/>
      </w:pPr>
      <w:r w:rsidRPr="004504F2">
        <w:t>Could Restriction of Liberty Orders be used instead of custody in the case of individuals deemed unwilling or unable to comply? Why does custody have to be seen as the ‘ultimate sanction’ in such cases?  Can RLOs fill that space? Electronic monitoring should provide some assurance about control and if combined with human and humane social work support be a less damaging (and expensive) way of responding to breach?</w:t>
      </w:r>
      <w:r w:rsidRPr="004504F2">
        <w:rPr>
          <w:rStyle w:val="FootnoteReference"/>
        </w:rPr>
        <w:footnoteReference w:id="19"/>
      </w:r>
      <w:r w:rsidRPr="004504F2">
        <w:t xml:space="preserve"> </w:t>
      </w:r>
    </w:p>
    <w:p w:rsidR="00E239D2" w:rsidRPr="004504F2" w:rsidRDefault="00E239D2" w:rsidP="004504F2">
      <w:pPr>
        <w:ind w:right="521"/>
        <w:jc w:val="both"/>
      </w:pPr>
    </w:p>
    <w:p w:rsidR="00E239D2" w:rsidRPr="004504F2" w:rsidRDefault="00E239D2" w:rsidP="004504F2">
      <w:pPr>
        <w:ind w:right="521"/>
        <w:jc w:val="both"/>
        <w:rPr>
          <w:b/>
        </w:rPr>
      </w:pPr>
      <w:r w:rsidRPr="004504F2">
        <w:rPr>
          <w:b/>
        </w:rPr>
        <w:t xml:space="preserve">Conclusions  </w:t>
      </w:r>
    </w:p>
    <w:p w:rsidR="00E239D2" w:rsidRPr="004504F2" w:rsidRDefault="00E239D2" w:rsidP="004504F2">
      <w:pPr>
        <w:ind w:right="521"/>
        <w:jc w:val="both"/>
      </w:pPr>
      <w:r w:rsidRPr="004504F2">
        <w:t xml:space="preserve">To achieve a radical reduction in the use of custody for those committing less serious offences and posing less serious risk of harm, the presumption even if extended to 12 months is likely (at least in itself) to achieve little. There will need to be a much more radical approach from the Government (and the Sentencing Council). </w:t>
      </w:r>
    </w:p>
    <w:p w:rsidR="00E239D2" w:rsidRPr="004504F2" w:rsidRDefault="00E239D2" w:rsidP="004504F2">
      <w:pPr>
        <w:ind w:right="521"/>
        <w:jc w:val="both"/>
      </w:pPr>
      <w:r w:rsidRPr="004504F2">
        <w:t xml:space="preserve">Importantly, nothing much may change unless and until we </w:t>
      </w:r>
      <w:r w:rsidRPr="004504F2">
        <w:rPr>
          <w:i/>
        </w:rPr>
        <w:t>relinquish the mentality of custody as ‘a last resort’</w:t>
      </w:r>
      <w:r w:rsidRPr="004504F2">
        <w:t xml:space="preserve">. Such thinking, as we have seen, in fact renders custody as the default, a back-up when ‘alternatives’ are seen to fail. </w:t>
      </w:r>
    </w:p>
    <w:p w:rsidR="00E239D2" w:rsidRPr="004504F2" w:rsidRDefault="00E239D2" w:rsidP="004504F2">
      <w:pPr>
        <w:ind w:right="521"/>
        <w:jc w:val="both"/>
      </w:pPr>
      <w:r w:rsidRPr="004504F2">
        <w:t xml:space="preserve">Instead, we need to </w:t>
      </w:r>
      <w:r w:rsidRPr="004504F2">
        <w:rPr>
          <w:i/>
        </w:rPr>
        <w:t>exclude</w:t>
      </w:r>
      <w:r w:rsidRPr="004504F2">
        <w:t xml:space="preserve"> certain purposes (such as rehabilitation) as a ground of imprisonment, and begin careful work to specify certain kinds of cases as normally non-imprisonable. </w:t>
      </w:r>
    </w:p>
    <w:p w:rsidR="00E239D2" w:rsidRPr="004504F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Pr="004504F2" w:rsidRDefault="00E239D2" w:rsidP="004504F2">
      <w:pPr>
        <w:jc w:val="both"/>
      </w:pPr>
    </w:p>
    <w:p w:rsidR="00E239D2" w:rsidRPr="004504F2" w:rsidRDefault="00E239D2" w:rsidP="004504F2">
      <w:pPr>
        <w:jc w:val="both"/>
        <w:rPr>
          <w:b/>
        </w:rPr>
      </w:pPr>
      <w:r w:rsidRPr="004504F2">
        <w:rPr>
          <w:b/>
        </w:rPr>
        <w:t>Sheriff Seith Ireland personal reflections on sentencing</w:t>
      </w:r>
    </w:p>
    <w:p w:rsidR="00E239D2" w:rsidRPr="004504F2" w:rsidRDefault="00E239D2" w:rsidP="004504F2">
      <w:pPr>
        <w:jc w:val="both"/>
      </w:pPr>
    </w:p>
    <w:p w:rsidR="00E239D2" w:rsidRPr="004504F2" w:rsidRDefault="00E239D2" w:rsidP="004504F2">
      <w:pPr>
        <w:jc w:val="both"/>
      </w:pPr>
      <w:r w:rsidRPr="004504F2">
        <w:t xml:space="preserve">Sheriff Ireland outlined his own thoughts on sentencing.  He put sentencing in the context of the cases now calling at summary level. Due to Crown prosecution policy he perceived there were more serious cases calling now at summary level such as offences aggravated by being “hate crimes” against ethnicity, religion or sexual orientation and cases which formerly might be on Indictment such as certain types of drug supply or drug </w:t>
      </w:r>
      <w:bookmarkStart w:id="0" w:name="_GoBack"/>
      <w:bookmarkEnd w:id="0"/>
      <w:r w:rsidRPr="004504F2">
        <w:t xml:space="preserve"> dealing cases. He said that he used community sentences where they were available in summary cases.  CPOs have been used more than the old type of community disposals and sentencers at the summary level do not necessarily see custody as inevitable and look for alternatives. He hoped that community projects, which had been shown to be of value, would be replicated right across Scotland so that sentencers in all regions could make use of them. When there is a gap in provision of effective community services which will rehabilitate, provide some restorative justice and punish offenders there is often sadly no choice but to use a custodial option. </w:t>
      </w:r>
    </w:p>
    <w:p w:rsidR="00E239D2" w:rsidRPr="004504F2" w:rsidRDefault="00E239D2" w:rsidP="004504F2">
      <w:pPr>
        <w:jc w:val="both"/>
      </w:pPr>
      <w:r w:rsidRPr="004504F2">
        <w:t>Many community projects covering alcohol and drug problems are used where available – but these should be funded across the whole of Scotland; such projects may provide better support than DTTOs alone.</w:t>
      </w:r>
    </w:p>
    <w:p w:rsidR="00E239D2" w:rsidRPr="004504F2" w:rsidRDefault="00E239D2" w:rsidP="004504F2">
      <w:pPr>
        <w:jc w:val="both"/>
      </w:pPr>
      <w:r w:rsidRPr="004504F2">
        <w:t xml:space="preserve">The third sector should be more involved in providing community services as they complement statutory services very well. </w:t>
      </w:r>
    </w:p>
    <w:p w:rsidR="00E239D2" w:rsidRPr="004504F2" w:rsidRDefault="00E239D2" w:rsidP="004504F2">
      <w:pPr>
        <w:jc w:val="both"/>
      </w:pPr>
      <w:r w:rsidRPr="004504F2">
        <w:t xml:space="preserve">It is important that community options within the CPO are well resourced, to avoid orders being breached, as repeated breaches can lead to a custodial sentence. </w:t>
      </w:r>
    </w:p>
    <w:p w:rsidR="00E239D2" w:rsidRPr="004504F2" w:rsidRDefault="00E239D2" w:rsidP="004504F2">
      <w:pPr>
        <w:jc w:val="both"/>
      </w:pPr>
      <w:r w:rsidRPr="004504F2">
        <w:t>He posed the question of whether properly supervised electronic monitoring could be used more widely both in terms of a sentencing outcome and as an alternative to remand.</w:t>
      </w:r>
    </w:p>
    <w:p w:rsidR="00E239D2" w:rsidRPr="004504F2" w:rsidRDefault="00E239D2" w:rsidP="004504F2">
      <w:pPr>
        <w:jc w:val="both"/>
      </w:pPr>
    </w:p>
    <w:p w:rsidR="00E239D2" w:rsidRPr="004504F2" w:rsidRDefault="00E239D2" w:rsidP="004504F2">
      <w:pPr>
        <w:jc w:val="both"/>
        <w:rPr>
          <w:b/>
        </w:rPr>
      </w:pPr>
      <w:r w:rsidRPr="004504F2">
        <w:rPr>
          <w:b/>
        </w:rPr>
        <w:t xml:space="preserve">Remand in Scotland, some facts and figures – compiled by Lisa Mackenzie, Policy Officer, Howard League Scotland. </w:t>
      </w:r>
    </w:p>
    <w:p w:rsidR="00E239D2" w:rsidRPr="004504F2" w:rsidRDefault="00E239D2" w:rsidP="004504F2">
      <w:pPr>
        <w:jc w:val="both"/>
        <w:rPr>
          <w:b/>
        </w:rPr>
      </w:pPr>
    </w:p>
    <w:p w:rsidR="00E239D2" w:rsidRPr="004504F2" w:rsidRDefault="00E239D2" w:rsidP="004504F2">
      <w:pPr>
        <w:pStyle w:val="ListParagraph"/>
        <w:numPr>
          <w:ilvl w:val="0"/>
          <w:numId w:val="1"/>
        </w:numPr>
        <w:jc w:val="both"/>
      </w:pPr>
      <w:r w:rsidRPr="004504F2">
        <w:t>The number of individuals on remand has increased by 65% since 2000 (951 in 2000 to 1565 in 2015</w:t>
      </w:r>
    </w:p>
    <w:p w:rsidR="00E239D2" w:rsidRPr="004504F2" w:rsidRDefault="00E239D2" w:rsidP="004504F2">
      <w:pPr>
        <w:pStyle w:val="ListParagraph"/>
        <w:numPr>
          <w:ilvl w:val="0"/>
          <w:numId w:val="1"/>
        </w:numPr>
        <w:jc w:val="both"/>
      </w:pPr>
      <w:r w:rsidRPr="004504F2">
        <w:t>Remand prisoners constitute one fifth of the prison population in Scotland</w:t>
      </w:r>
    </w:p>
    <w:p w:rsidR="00E239D2" w:rsidRPr="004504F2" w:rsidRDefault="00E239D2" w:rsidP="004504F2">
      <w:pPr>
        <w:pStyle w:val="ListParagraph"/>
        <w:numPr>
          <w:ilvl w:val="0"/>
          <w:numId w:val="1"/>
        </w:numPr>
        <w:jc w:val="both"/>
      </w:pPr>
      <w:r w:rsidRPr="004504F2">
        <w:t>Scotland’s remand imprisonment rate is the highest of the three UK jurisdictions</w:t>
      </w:r>
    </w:p>
    <w:p w:rsidR="00E239D2" w:rsidRPr="004504F2" w:rsidRDefault="00E239D2" w:rsidP="004504F2">
      <w:pPr>
        <w:pStyle w:val="ListParagraph"/>
        <w:numPr>
          <w:ilvl w:val="0"/>
          <w:numId w:val="1"/>
        </w:numPr>
        <w:jc w:val="both"/>
      </w:pPr>
      <w:r w:rsidRPr="004504F2">
        <w:t>Reports that the 140 day rules is being regularly flouted – this may be contributing to the increased use of remand (although and FOI request by Scottish Legal News to SCTS did not receive a full response)</w:t>
      </w:r>
    </w:p>
    <w:p w:rsidR="00E239D2" w:rsidRPr="004504F2" w:rsidRDefault="00E239D2" w:rsidP="004504F2">
      <w:pPr>
        <w:pStyle w:val="ListParagraph"/>
        <w:numPr>
          <w:ilvl w:val="0"/>
          <w:numId w:val="1"/>
        </w:numPr>
        <w:jc w:val="both"/>
      </w:pPr>
      <w:r w:rsidRPr="004504F2">
        <w:t>In 2012 / 2013, more people went to prison to await trial or sentencing than to be punished – there were 19,175 remand receptions and 14,668 sentenced receptions</w:t>
      </w:r>
    </w:p>
    <w:p w:rsidR="00E239D2" w:rsidRPr="004504F2" w:rsidRDefault="00E239D2" w:rsidP="004504F2">
      <w:pPr>
        <w:pStyle w:val="ListParagraph"/>
        <w:numPr>
          <w:ilvl w:val="0"/>
          <w:numId w:val="1"/>
        </w:numPr>
        <w:jc w:val="both"/>
      </w:pPr>
      <w:r w:rsidRPr="004504F2">
        <w:t>The use of bail supervision varies widely across Scotland</w:t>
      </w:r>
    </w:p>
    <w:p w:rsidR="00E239D2" w:rsidRPr="004504F2" w:rsidRDefault="00E239D2" w:rsidP="004504F2">
      <w:pPr>
        <w:pStyle w:val="ListParagraph"/>
        <w:numPr>
          <w:ilvl w:val="0"/>
          <w:numId w:val="1"/>
        </w:numPr>
        <w:jc w:val="both"/>
        <w:rPr>
          <w:b/>
        </w:rPr>
      </w:pPr>
      <w:r w:rsidRPr="004504F2">
        <w:t xml:space="preserve">In 2012 / 2013, the community justice authority areas with the top 3 highest levels of requests from court for bail were Glasgow, North Strathclyde and Lanarkshire respectively. These three CJA areas received a total of 5,810 requests from court for bail (the total for the whole of Scotland was 6,874). These three CJA areas placed just 46 individuals on supervised bail. </w:t>
      </w:r>
      <w:r w:rsidRPr="004504F2">
        <w:rPr>
          <w:b/>
        </w:rPr>
        <w:t>Thus the 3 CJA areas with 84% of all the requests for bail in Scotland applied bail supervision to just 0.8% of the requests they received.</w:t>
      </w:r>
    </w:p>
    <w:p w:rsidR="00E239D2" w:rsidRPr="004504F2" w:rsidRDefault="00E239D2" w:rsidP="004504F2">
      <w:pPr>
        <w:pStyle w:val="ListParagraph"/>
        <w:numPr>
          <w:ilvl w:val="0"/>
          <w:numId w:val="1"/>
        </w:numPr>
        <w:jc w:val="both"/>
      </w:pPr>
      <w:r>
        <w:t xml:space="preserve">In 2012 </w:t>
      </w:r>
      <w:r w:rsidRPr="004504F2">
        <w:t>/2013 the remaining community justice authority areas placed 354 individuals on bail supervision from a total 1,074 requests from court for bail (approx. 33% bail supervision rate).</w:t>
      </w:r>
    </w:p>
    <w:p w:rsidR="00E239D2" w:rsidRPr="004504F2" w:rsidRDefault="00E239D2" w:rsidP="004504F2">
      <w:pPr>
        <w:jc w:val="both"/>
      </w:pPr>
    </w:p>
    <w:p w:rsidR="00E239D2" w:rsidRPr="004504F2" w:rsidRDefault="00E239D2" w:rsidP="004504F2">
      <w:pPr>
        <w:jc w:val="both"/>
        <w:rPr>
          <w:b/>
          <w:i/>
        </w:rPr>
      </w:pPr>
      <w:r w:rsidRPr="004504F2">
        <w:rPr>
          <w:b/>
          <w:i/>
        </w:rPr>
        <w:t>For further tables, please see the appendix at the end of the report.</w:t>
      </w:r>
    </w:p>
    <w:p w:rsidR="00E239D2" w:rsidRPr="004504F2" w:rsidRDefault="00E239D2" w:rsidP="004504F2">
      <w:pPr>
        <w:jc w:val="both"/>
      </w:pPr>
    </w:p>
    <w:p w:rsidR="00E239D2" w:rsidRPr="004504F2" w:rsidRDefault="00E239D2" w:rsidP="004504F2">
      <w:pPr>
        <w:jc w:val="both"/>
      </w:pPr>
      <w:r w:rsidRPr="004504F2">
        <w:t xml:space="preserve">The variability in the use of supervised bail was highlighted. </w:t>
      </w:r>
      <w:r w:rsidRPr="004504F2">
        <w:rPr>
          <w:bCs/>
          <w:color w:val="000000"/>
          <w:lang w:eastAsia="en-GB"/>
        </w:rPr>
        <w:t xml:space="preserve">Approximately 1500 individuals are on remand in Scottish prisons today. Based on a cost per prisoner place of £37k*, remand is costing the system around £55m per annum. The unit cost of supervised bail, on the other hand, is £3k. </w:t>
      </w:r>
    </w:p>
    <w:p w:rsidR="00E239D2" w:rsidRPr="004504F2" w:rsidRDefault="00E239D2" w:rsidP="004504F2">
      <w:pPr>
        <w:jc w:val="both"/>
        <w:rPr>
          <w:i/>
          <w:color w:val="000000"/>
        </w:rPr>
      </w:pPr>
    </w:p>
    <w:p w:rsidR="00E239D2" w:rsidRPr="004504F2" w:rsidRDefault="00E239D2" w:rsidP="004504F2">
      <w:pPr>
        <w:jc w:val="both"/>
        <w:rPr>
          <w:i/>
          <w:color w:val="000000"/>
          <w:sz w:val="18"/>
          <w:szCs w:val="18"/>
        </w:rPr>
      </w:pPr>
      <w:r w:rsidRPr="004504F2">
        <w:rPr>
          <w:i/>
          <w:color w:val="000000"/>
          <w:sz w:val="18"/>
          <w:szCs w:val="18"/>
        </w:rPr>
        <w:t>*</w:t>
      </w:r>
      <w:hyperlink r:id="rId8" w:tooltip="http://www.gov.scot/Topics/Statistics/Browse/Crime-Justice/Publications/costcrimjustscot/costcrimjustdataset" w:history="1">
        <w:r w:rsidRPr="004504F2">
          <w:rPr>
            <w:rStyle w:val="Hyperlink"/>
            <w:i/>
            <w:sz w:val="18"/>
            <w:szCs w:val="18"/>
          </w:rPr>
          <w:t>http://www.gov.scot/Topics/Statistics/Browse/Crime-Justice/Publications/costcrimjustscot/costcrimjustdataset</w:t>
        </w:r>
      </w:hyperlink>
    </w:p>
    <w:p w:rsidR="00E239D2" w:rsidRPr="004504F2" w:rsidRDefault="00E239D2" w:rsidP="004504F2">
      <w:pPr>
        <w:jc w:val="both"/>
        <w:rPr>
          <w:i/>
          <w:color w:val="000000"/>
          <w:sz w:val="18"/>
          <w:szCs w:val="18"/>
        </w:rPr>
      </w:pPr>
      <w:r w:rsidRPr="004504F2">
        <w:rPr>
          <w:i/>
          <w:sz w:val="18"/>
          <w:szCs w:val="18"/>
        </w:rPr>
        <w:t>Scottish Prison Service, Source SPS accounts 2013-14. The cost of a prisoner place is £37,059 this is a rolling 3 year average of the average cost per prisoner place, calculated on a resource accounting basis (including depreciation and impairment charges).  A 3 year rolling average is presented to smooth the effects of including impairment charges which can significantly affect the value of a single year's average cost of a prison place).</w:t>
      </w:r>
    </w:p>
    <w:p w:rsidR="00E239D2" w:rsidRPr="004504F2" w:rsidRDefault="00E239D2" w:rsidP="004504F2">
      <w:pPr>
        <w:jc w:val="both"/>
        <w:rPr>
          <w:color w:val="000000"/>
        </w:rPr>
      </w:pPr>
    </w:p>
    <w:p w:rsidR="00E239D2" w:rsidRPr="004504F2" w:rsidRDefault="00E239D2" w:rsidP="004504F2">
      <w:pPr>
        <w:jc w:val="both"/>
      </w:pPr>
    </w:p>
    <w:p w:rsidR="00E239D2" w:rsidRPr="004504F2" w:rsidRDefault="00E239D2" w:rsidP="004504F2">
      <w:pPr>
        <w:jc w:val="both"/>
        <w:rPr>
          <w:color w:val="000000"/>
          <w:lang w:eastAsia="en-GB"/>
        </w:rPr>
      </w:pPr>
      <w:r w:rsidRPr="004504F2">
        <w:rPr>
          <w:bCs/>
          <w:color w:val="000000"/>
          <w:lang w:eastAsia="en-GB"/>
        </w:rPr>
        <w:t>I</w:t>
      </w:r>
      <w:r w:rsidRPr="004504F2">
        <w:t>n England and Wales, the use of the no real prospect clause in the Bail Act has led to a decrease in the number of people on bail. This number has plateaued recently, possibly due to the fact it is reaching a more normal baseline.</w:t>
      </w:r>
    </w:p>
    <w:p w:rsidR="00E239D2" w:rsidRPr="004504F2" w:rsidRDefault="00E239D2" w:rsidP="004504F2">
      <w:pPr>
        <w:jc w:val="both"/>
      </w:pPr>
    </w:p>
    <w:p w:rsidR="00E239D2" w:rsidRPr="004504F2" w:rsidRDefault="00E239D2" w:rsidP="004504F2">
      <w:pPr>
        <w:jc w:val="both"/>
      </w:pPr>
    </w:p>
    <w:p w:rsidR="00E239D2" w:rsidRPr="004504F2" w:rsidRDefault="00E239D2" w:rsidP="004504F2">
      <w:pPr>
        <w:jc w:val="both"/>
        <w:rPr>
          <w:b/>
        </w:rPr>
      </w:pPr>
      <w:r w:rsidRPr="004504F2">
        <w:rPr>
          <w:b/>
        </w:rPr>
        <w:t>Points made during the discussion on short sentences</w:t>
      </w:r>
    </w:p>
    <w:p w:rsidR="00E239D2" w:rsidRPr="004504F2" w:rsidRDefault="00E239D2" w:rsidP="004504F2">
      <w:pPr>
        <w:jc w:val="both"/>
        <w:rPr>
          <w:b/>
        </w:rPr>
      </w:pPr>
    </w:p>
    <w:p w:rsidR="00E239D2" w:rsidRPr="004504F2" w:rsidRDefault="00E239D2" w:rsidP="004504F2">
      <w:pPr>
        <w:pStyle w:val="ListParagraph"/>
        <w:numPr>
          <w:ilvl w:val="0"/>
          <w:numId w:val="2"/>
        </w:numPr>
        <w:jc w:val="both"/>
      </w:pPr>
      <w:r w:rsidRPr="004504F2">
        <w:t>There is often a lot of pressure on CJSW to get people through their plan of work leaving no time to find the underlying cause of their offending and problems.</w:t>
      </w:r>
    </w:p>
    <w:p w:rsidR="00E239D2" w:rsidRPr="004504F2" w:rsidRDefault="00E239D2" w:rsidP="004504F2">
      <w:pPr>
        <w:pStyle w:val="ListParagraph"/>
        <w:numPr>
          <w:ilvl w:val="0"/>
          <w:numId w:val="2"/>
        </w:numPr>
        <w:jc w:val="both"/>
      </w:pPr>
      <w:r w:rsidRPr="004504F2">
        <w:t>Sheriffs want to use community alternatives, but there are often not enough resources and they are inconsistently applied across Scotland. More funding is needed.</w:t>
      </w:r>
    </w:p>
    <w:p w:rsidR="00E239D2" w:rsidRPr="004504F2" w:rsidRDefault="00E239D2" w:rsidP="004504F2">
      <w:pPr>
        <w:pStyle w:val="ListParagraph"/>
        <w:numPr>
          <w:ilvl w:val="0"/>
          <w:numId w:val="2"/>
        </w:numPr>
        <w:jc w:val="both"/>
      </w:pPr>
      <w:r w:rsidRPr="004504F2">
        <w:t>We need a resource transfer from the SPS to community resources</w:t>
      </w:r>
    </w:p>
    <w:p w:rsidR="00E239D2" w:rsidRPr="004504F2" w:rsidRDefault="00E239D2" w:rsidP="004504F2">
      <w:pPr>
        <w:pStyle w:val="ListParagraph"/>
        <w:numPr>
          <w:ilvl w:val="0"/>
          <w:numId w:val="2"/>
        </w:numPr>
        <w:jc w:val="both"/>
      </w:pPr>
      <w:r w:rsidRPr="004504F2">
        <w:t>How do we ensure that community planning partnerships (CPPs) will retain a focus on the needs of women affected by the community justice system – we do not want more vulnerable women ending up on short sentences</w:t>
      </w:r>
    </w:p>
    <w:p w:rsidR="00E239D2" w:rsidRPr="004504F2" w:rsidRDefault="00E239D2" w:rsidP="004504F2">
      <w:pPr>
        <w:pStyle w:val="ListParagraph"/>
        <w:numPr>
          <w:ilvl w:val="0"/>
          <w:numId w:val="2"/>
        </w:numPr>
        <w:jc w:val="both"/>
      </w:pPr>
      <w:r w:rsidRPr="004504F2">
        <w:t>We all know the issues surrounding vulnerable women and their children and the effect of short term sentences on them. Despite this the use of remand has increased in Scotland.</w:t>
      </w:r>
    </w:p>
    <w:p w:rsidR="00E239D2" w:rsidRPr="004504F2" w:rsidRDefault="00E239D2" w:rsidP="004504F2">
      <w:pPr>
        <w:pStyle w:val="ListParagraph"/>
        <w:numPr>
          <w:ilvl w:val="0"/>
          <w:numId w:val="2"/>
        </w:numPr>
        <w:jc w:val="both"/>
      </w:pPr>
      <w:r w:rsidRPr="004504F2">
        <w:t>We should bring in a clause similar to the no real prospect clause in the bail act of England and Wales</w:t>
      </w:r>
    </w:p>
    <w:p w:rsidR="00E239D2" w:rsidRPr="004504F2" w:rsidRDefault="00E239D2" w:rsidP="004504F2">
      <w:pPr>
        <w:pStyle w:val="ListParagraph"/>
        <w:numPr>
          <w:ilvl w:val="0"/>
          <w:numId w:val="2"/>
        </w:numPr>
        <w:jc w:val="both"/>
      </w:pPr>
      <w:r w:rsidRPr="004504F2">
        <w:t>Cornton Vale prison should be closed and resources transferred to the community. Serious female offenders could be hosed in Polmont, as this is currently half empty</w:t>
      </w:r>
    </w:p>
    <w:p w:rsidR="00E239D2" w:rsidRPr="004504F2" w:rsidRDefault="00E239D2" w:rsidP="004504F2">
      <w:pPr>
        <w:pStyle w:val="ListParagraph"/>
        <w:numPr>
          <w:ilvl w:val="0"/>
          <w:numId w:val="2"/>
        </w:numPr>
        <w:jc w:val="both"/>
      </w:pPr>
      <w:r w:rsidRPr="004504F2">
        <w:t>Community sentence options must be credible and replicable across the whole of Scotland and be well resourced so that sentencers have confidence in their use</w:t>
      </w:r>
    </w:p>
    <w:p w:rsidR="00E239D2" w:rsidRPr="004504F2" w:rsidRDefault="00E239D2" w:rsidP="004504F2">
      <w:pPr>
        <w:pStyle w:val="ListParagraph"/>
        <w:numPr>
          <w:ilvl w:val="0"/>
          <w:numId w:val="2"/>
        </w:numPr>
        <w:jc w:val="both"/>
      </w:pPr>
      <w:r w:rsidRPr="004504F2">
        <w:t>Community sentencing must be person centred</w:t>
      </w:r>
    </w:p>
    <w:p w:rsidR="00E239D2" w:rsidRPr="004504F2" w:rsidRDefault="00E239D2" w:rsidP="004504F2">
      <w:pPr>
        <w:pStyle w:val="ListParagraph"/>
        <w:numPr>
          <w:ilvl w:val="0"/>
          <w:numId w:val="2"/>
        </w:numPr>
        <w:jc w:val="both"/>
      </w:pPr>
      <w:r w:rsidRPr="004504F2">
        <w:t>We should look at successful international examples of community sentencing</w:t>
      </w:r>
    </w:p>
    <w:p w:rsidR="00E239D2" w:rsidRPr="004504F2" w:rsidRDefault="00E239D2" w:rsidP="004504F2">
      <w:pPr>
        <w:pStyle w:val="ListParagraph"/>
        <w:numPr>
          <w:ilvl w:val="0"/>
          <w:numId w:val="2"/>
        </w:numPr>
        <w:jc w:val="both"/>
      </w:pPr>
      <w:r w:rsidRPr="004504F2">
        <w:t>We must work hard to change society’s beliefs in community sentencing</w:t>
      </w:r>
    </w:p>
    <w:p w:rsidR="00E239D2" w:rsidRPr="004504F2" w:rsidRDefault="00E239D2" w:rsidP="004504F2">
      <w:pPr>
        <w:pStyle w:val="ListParagraph"/>
        <w:numPr>
          <w:ilvl w:val="0"/>
          <w:numId w:val="2"/>
        </w:numPr>
        <w:jc w:val="both"/>
      </w:pPr>
      <w:r w:rsidRPr="004504F2">
        <w:t>Successful community projects could be extended to support people at the start of the offending process – not at the point where it has become very severe.</w:t>
      </w:r>
    </w:p>
    <w:p w:rsidR="00E239D2" w:rsidRPr="004504F2" w:rsidRDefault="00E239D2" w:rsidP="004504F2">
      <w:pPr>
        <w:pStyle w:val="ListParagraph"/>
        <w:numPr>
          <w:ilvl w:val="0"/>
          <w:numId w:val="2"/>
        </w:numPr>
        <w:jc w:val="both"/>
      </w:pPr>
      <w:r w:rsidRPr="004504F2">
        <w:t>CJSW must be shown how best practice in bail supervision can be very useful in supporting people</w:t>
      </w:r>
    </w:p>
    <w:p w:rsidR="00E239D2" w:rsidRPr="004504F2" w:rsidRDefault="00E239D2" w:rsidP="004504F2">
      <w:pPr>
        <w:pStyle w:val="ListParagraph"/>
        <w:numPr>
          <w:ilvl w:val="0"/>
          <w:numId w:val="2"/>
        </w:numPr>
        <w:jc w:val="both"/>
      </w:pPr>
      <w:r w:rsidRPr="004504F2">
        <w:t>We should argue for the use of a minimum of 12 months as a sentence, but keep a sharp eye on sentence inflation.</w:t>
      </w:r>
    </w:p>
    <w:p w:rsidR="00E239D2" w:rsidRPr="004504F2" w:rsidRDefault="00E239D2" w:rsidP="004504F2">
      <w:pPr>
        <w:pStyle w:val="ListParagraph"/>
        <w:numPr>
          <w:ilvl w:val="0"/>
          <w:numId w:val="2"/>
        </w:numPr>
        <w:jc w:val="both"/>
      </w:pPr>
      <w:r w:rsidRPr="004504F2">
        <w:t>We should look at setting up a pilot scheme to take remand and custodial sentencing away from a summary court and put resources into community alternatives</w:t>
      </w:r>
    </w:p>
    <w:p w:rsidR="00E239D2" w:rsidRPr="004504F2" w:rsidRDefault="00E239D2" w:rsidP="004504F2">
      <w:pPr>
        <w:pStyle w:val="ListParagraph"/>
        <w:numPr>
          <w:ilvl w:val="0"/>
          <w:numId w:val="2"/>
        </w:numPr>
        <w:jc w:val="both"/>
      </w:pPr>
      <w:r w:rsidRPr="004504F2">
        <w:t>We should not wait for a prison t 0close before resources are moved to community projects. The community justice options should be “front-loaded” with funding to get them up and running.</w:t>
      </w:r>
    </w:p>
    <w:p w:rsidR="00E239D2" w:rsidRPr="004504F2" w:rsidRDefault="00E239D2" w:rsidP="004504F2">
      <w:pPr>
        <w:pStyle w:val="ListParagraph"/>
        <w:numPr>
          <w:ilvl w:val="0"/>
          <w:numId w:val="2"/>
        </w:numPr>
        <w:jc w:val="both"/>
        <w:rPr>
          <w:i/>
        </w:rPr>
      </w:pPr>
      <w:r w:rsidRPr="004504F2">
        <w:t>The innovation fund for justice should be used for community projects. It is mentioned in the explanatory notes for the community justice bill (“</w:t>
      </w:r>
      <w:hyperlink r:id="rId9" w:history="1">
        <w:r w:rsidRPr="004504F2">
          <w:rPr>
            <w:rStyle w:val="Hyperlink"/>
            <w:i/>
          </w:rPr>
          <w:t>The Scottish Government’s intention is that section 27 funding will include an innovation fund against which community justice partners would bid for monies to deliver improvement. The intention is to incentivise best practice and the achievement of community justice outcomes</w:t>
        </w:r>
      </w:hyperlink>
      <w:r w:rsidRPr="004504F2">
        <w:rPr>
          <w:i/>
        </w:rPr>
        <w:t>.”) section 109.</w:t>
      </w:r>
    </w:p>
    <w:p w:rsidR="00E239D2" w:rsidRPr="004504F2" w:rsidRDefault="00E239D2" w:rsidP="004504F2">
      <w:pPr>
        <w:pStyle w:val="ListParagraph"/>
        <w:numPr>
          <w:ilvl w:val="0"/>
          <w:numId w:val="2"/>
        </w:numPr>
        <w:jc w:val="both"/>
      </w:pPr>
      <w:r w:rsidRPr="004504F2">
        <w:t>It is important when developing robust criteria upon which to judge community sentences, we use the same level of robustness when investigating the utility of short custodial sentences.</w:t>
      </w:r>
    </w:p>
    <w:p w:rsidR="00E239D2" w:rsidRPr="004504F2" w:rsidRDefault="00E239D2" w:rsidP="004504F2">
      <w:pPr>
        <w:pStyle w:val="ListParagraph"/>
        <w:numPr>
          <w:ilvl w:val="0"/>
          <w:numId w:val="2"/>
        </w:numPr>
        <w:jc w:val="both"/>
      </w:pPr>
      <w:r w:rsidRPr="004504F2">
        <w:t>We need to look at all the current changes in legislation to see how each may impinge on the other (e.g. Community justice bill, community empowerment bill, criminal justice bill, changes to the use of short sentences etc)</w:t>
      </w:r>
    </w:p>
    <w:p w:rsidR="00E239D2" w:rsidRPr="004504F2" w:rsidRDefault="00E239D2" w:rsidP="004504F2">
      <w:pPr>
        <w:pStyle w:val="ListParagraph"/>
        <w:numPr>
          <w:ilvl w:val="0"/>
          <w:numId w:val="2"/>
        </w:numPr>
        <w:jc w:val="both"/>
      </w:pPr>
      <w:r w:rsidRPr="004504F2">
        <w:t>We need to be clear on what prison is for and what it is not for.</w:t>
      </w:r>
    </w:p>
    <w:p w:rsidR="00E239D2" w:rsidRPr="004504F2" w:rsidRDefault="00E239D2" w:rsidP="004504F2">
      <w:pPr>
        <w:pStyle w:val="ListParagraph"/>
        <w:numPr>
          <w:ilvl w:val="0"/>
          <w:numId w:val="2"/>
        </w:numPr>
        <w:jc w:val="both"/>
      </w:pPr>
      <w:r w:rsidRPr="004504F2">
        <w:t xml:space="preserve">Using short time periods as categories for sentencing is a blunt instrument. Many cases covered in summary courts may be violent ones and we need a level of proportionality to be levelled according to the type of crime, level of seriousness, level of violence etc. </w:t>
      </w:r>
    </w:p>
    <w:p w:rsidR="00E239D2" w:rsidRPr="004504F2" w:rsidRDefault="00E239D2" w:rsidP="004504F2">
      <w:pPr>
        <w:pStyle w:val="ListParagraph"/>
        <w:numPr>
          <w:ilvl w:val="0"/>
          <w:numId w:val="2"/>
        </w:numPr>
        <w:jc w:val="both"/>
      </w:pPr>
      <w:r w:rsidRPr="004504F2">
        <w:t>We must ensure that we do not have a blanket ban o sentences of less than 12 months as this may lead to sentences inflation</w:t>
      </w:r>
    </w:p>
    <w:p w:rsidR="00E239D2" w:rsidRPr="004504F2" w:rsidRDefault="00E239D2" w:rsidP="004504F2">
      <w:pPr>
        <w:pStyle w:val="ListParagraph"/>
        <w:numPr>
          <w:ilvl w:val="0"/>
          <w:numId w:val="2"/>
        </w:numPr>
        <w:jc w:val="both"/>
      </w:pPr>
      <w:r w:rsidRPr="004504F2">
        <w:t>Prison should be seen as a last resort and not the default option</w:t>
      </w:r>
    </w:p>
    <w:p w:rsidR="00E239D2" w:rsidRPr="004504F2" w:rsidRDefault="00E239D2" w:rsidP="004504F2">
      <w:pPr>
        <w:pStyle w:val="ListParagraph"/>
        <w:numPr>
          <w:ilvl w:val="0"/>
          <w:numId w:val="2"/>
        </w:numPr>
        <w:jc w:val="both"/>
      </w:pPr>
      <w:r w:rsidRPr="004504F2">
        <w:t xml:space="preserve">We must also ensure that the victims’ voices are heard. </w:t>
      </w:r>
    </w:p>
    <w:p w:rsidR="00E239D2" w:rsidRPr="004504F2" w:rsidRDefault="00E239D2" w:rsidP="004504F2">
      <w:pPr>
        <w:pStyle w:val="ListParagraph"/>
        <w:numPr>
          <w:ilvl w:val="0"/>
          <w:numId w:val="2"/>
        </w:numPr>
        <w:jc w:val="both"/>
      </w:pPr>
      <w:r w:rsidRPr="004504F2">
        <w:t>We must ensure that we meet the European Directive on victims’ rights fully.</w:t>
      </w:r>
    </w:p>
    <w:p w:rsidR="00E239D2" w:rsidRPr="004504F2" w:rsidRDefault="00E239D2" w:rsidP="004504F2">
      <w:pPr>
        <w:pStyle w:val="ListParagraph"/>
        <w:numPr>
          <w:ilvl w:val="0"/>
          <w:numId w:val="2"/>
        </w:numPr>
        <w:jc w:val="both"/>
      </w:pPr>
      <w:r w:rsidRPr="004504F2">
        <w:t>Restorative justice may be a useful option for victims and they should be given this option</w:t>
      </w:r>
    </w:p>
    <w:p w:rsidR="00E239D2" w:rsidRPr="004504F2" w:rsidRDefault="00E239D2" w:rsidP="004504F2">
      <w:pPr>
        <w:pStyle w:val="ListParagraph"/>
        <w:numPr>
          <w:ilvl w:val="0"/>
          <w:numId w:val="2"/>
        </w:numPr>
        <w:jc w:val="both"/>
      </w:pPr>
      <w:r w:rsidRPr="004504F2">
        <w:t>It is almost impossible to draw up a list of crimes which should be exempt from the presumption.</w:t>
      </w:r>
    </w:p>
    <w:p w:rsidR="00E239D2" w:rsidRPr="004504F2" w:rsidRDefault="00E239D2" w:rsidP="004504F2">
      <w:pPr>
        <w:pStyle w:val="ListParagraph"/>
        <w:numPr>
          <w:ilvl w:val="0"/>
          <w:numId w:val="2"/>
        </w:numPr>
        <w:jc w:val="both"/>
      </w:pPr>
      <w:r w:rsidRPr="004504F2">
        <w:t>We need further data on the profiles of people who receive short sentences and the crimes they are sentenced to custody for.</w:t>
      </w:r>
    </w:p>
    <w:p w:rsidR="00E239D2" w:rsidRPr="004504F2" w:rsidRDefault="00E239D2" w:rsidP="004504F2">
      <w:pPr>
        <w:pStyle w:val="ListParagraph"/>
        <w:numPr>
          <w:ilvl w:val="0"/>
          <w:numId w:val="2"/>
        </w:numPr>
        <w:jc w:val="both"/>
      </w:pPr>
      <w:r w:rsidRPr="004504F2">
        <w:t xml:space="preserve"> There is quite a different group of crimes coming to the summary courts and other crime categories are increasing in number (knife crime, housebreaking, domestic violence, hate crime)</w:t>
      </w:r>
    </w:p>
    <w:p w:rsidR="00E239D2" w:rsidRPr="004504F2" w:rsidRDefault="00E239D2" w:rsidP="004504F2">
      <w:pPr>
        <w:pStyle w:val="ListParagraph"/>
        <w:numPr>
          <w:ilvl w:val="0"/>
          <w:numId w:val="2"/>
        </w:numPr>
        <w:jc w:val="both"/>
      </w:pPr>
      <w:r w:rsidRPr="004504F2">
        <w:t>All serious crime should go to the solemn court and less serious crime to the summary courts and summary courts should not be allowed to impose a custodial sentence.</w:t>
      </w:r>
    </w:p>
    <w:p w:rsidR="00E239D2" w:rsidRPr="004504F2" w:rsidRDefault="00E239D2" w:rsidP="004504F2">
      <w:pPr>
        <w:pStyle w:val="ListParagraph"/>
        <w:numPr>
          <w:ilvl w:val="0"/>
          <w:numId w:val="2"/>
        </w:numPr>
        <w:jc w:val="both"/>
      </w:pPr>
      <w:r w:rsidRPr="004504F2">
        <w:t>We should look at other ways to restrict liberty other than a custodial sentence. e.g. tags, reduced funds, movement curfew</w:t>
      </w:r>
    </w:p>
    <w:p w:rsidR="00E239D2" w:rsidRPr="004504F2" w:rsidRDefault="00E239D2" w:rsidP="004504F2">
      <w:pPr>
        <w:pStyle w:val="ListParagraph"/>
        <w:numPr>
          <w:ilvl w:val="0"/>
          <w:numId w:val="2"/>
        </w:numPr>
        <w:jc w:val="both"/>
      </w:pPr>
      <w:r w:rsidRPr="004504F2">
        <w:t>We need robust alternatives to remand – such as supervised bail. We need increased funding for this and provide the best practice examples for this to improve confidence in its use and how to deal with non-compliance</w:t>
      </w:r>
    </w:p>
    <w:p w:rsidR="00E239D2" w:rsidRPr="004504F2" w:rsidRDefault="00E239D2" w:rsidP="004504F2">
      <w:pPr>
        <w:pStyle w:val="ListParagraph"/>
        <w:numPr>
          <w:ilvl w:val="0"/>
          <w:numId w:val="2"/>
        </w:numPr>
        <w:jc w:val="both"/>
      </w:pPr>
      <w:r w:rsidRPr="004504F2">
        <w:t>Wilful non-compliance should be further investigated as oppositional defiance disorder can be supported if someone is given a full diagnosis</w:t>
      </w:r>
    </w:p>
    <w:p w:rsidR="00E239D2" w:rsidRPr="004504F2" w:rsidRDefault="00E239D2" w:rsidP="004504F2">
      <w:pPr>
        <w:pStyle w:val="ListParagraph"/>
        <w:numPr>
          <w:ilvl w:val="0"/>
          <w:numId w:val="2"/>
        </w:numPr>
        <w:jc w:val="both"/>
      </w:pPr>
      <w:r w:rsidRPr="004504F2">
        <w:t>We need to understand the reasons for breach. In recovery from addiction it is expected that people will “fall off the wagon” and we should have the same level of understanding for breach of certain offending behaviour.</w:t>
      </w:r>
    </w:p>
    <w:p w:rsidR="00E239D2" w:rsidRPr="004504F2" w:rsidRDefault="00E239D2" w:rsidP="004504F2">
      <w:pPr>
        <w:pStyle w:val="ListParagraph"/>
        <w:numPr>
          <w:ilvl w:val="0"/>
          <w:numId w:val="2"/>
        </w:numPr>
        <w:jc w:val="both"/>
      </w:pPr>
      <w:r w:rsidRPr="004504F2">
        <w:t xml:space="preserve">The Bangkok rules on women’s imprisonment state that women should not be remanded if they have a family to care for – in Scotland there is a high level of women being held on remand who do not go on to custody. (we do not have up to date figures for Scotland, but figures for England and Wales in 2014 show that 56.25 % of women held on remand did not go on to receive a custodial sentence – </w:t>
      </w:r>
      <w:hyperlink r:id="rId10" w:history="1">
        <w:r w:rsidRPr="004504F2">
          <w:rPr>
            <w:rStyle w:val="Hyperlink"/>
          </w:rPr>
          <w:t>Bromley Briefings report</w:t>
        </w:r>
      </w:hyperlink>
      <w:r w:rsidRPr="004504F2">
        <w:t>)</w:t>
      </w:r>
    </w:p>
    <w:p w:rsidR="00E239D2" w:rsidRPr="004504F2" w:rsidRDefault="00E239D2" w:rsidP="004504F2">
      <w:pPr>
        <w:pStyle w:val="ListParagraph"/>
        <w:numPr>
          <w:ilvl w:val="0"/>
          <w:numId w:val="2"/>
        </w:numPr>
        <w:jc w:val="both"/>
      </w:pPr>
      <w:r w:rsidRPr="004504F2">
        <w:t>We must look at reasons for non-compliance of orders and community health projects (e.g. the Willow service)  are successful at doing this and should be better resourced to support more women</w:t>
      </w:r>
    </w:p>
    <w:p w:rsidR="00E239D2" w:rsidRPr="004504F2" w:rsidRDefault="00E239D2" w:rsidP="004504F2">
      <w:pPr>
        <w:pStyle w:val="ListParagraph"/>
        <w:numPr>
          <w:ilvl w:val="0"/>
          <w:numId w:val="2"/>
        </w:numPr>
        <w:jc w:val="both"/>
      </w:pPr>
      <w:r w:rsidRPr="004504F2">
        <w:t>Procurators have to look at bail from the perspective of community safety rather than whether someone will receive a custodial sentence. There will be a new policy to give the police more time to put a case together so more people should be placed on bail for further reports</w:t>
      </w:r>
    </w:p>
    <w:p w:rsidR="00E239D2" w:rsidRPr="004504F2" w:rsidRDefault="00E239D2" w:rsidP="004504F2">
      <w:pPr>
        <w:pStyle w:val="ListParagraph"/>
        <w:numPr>
          <w:ilvl w:val="0"/>
          <w:numId w:val="2"/>
        </w:numPr>
        <w:jc w:val="both"/>
      </w:pPr>
      <w:r w:rsidRPr="004504F2">
        <w:t>CJScotland, which will be created by the community justice bill, does not have the power to ensure resources are transferred to the correct sector / project – this is a problem</w:t>
      </w:r>
    </w:p>
    <w:p w:rsidR="00E239D2" w:rsidRPr="004504F2" w:rsidRDefault="00E239D2" w:rsidP="004504F2">
      <w:pPr>
        <w:pStyle w:val="ListParagraph"/>
        <w:numPr>
          <w:ilvl w:val="0"/>
          <w:numId w:val="2"/>
        </w:numPr>
        <w:jc w:val="both"/>
      </w:pPr>
      <w:r w:rsidRPr="004504F2">
        <w:t>The community justice bill has a very aspirational model for community planning partnerships – efficacy of CPPs is not based on concrete evidence</w:t>
      </w:r>
    </w:p>
    <w:p w:rsidR="00E239D2" w:rsidRPr="004504F2" w:rsidRDefault="00E239D2" w:rsidP="004504F2">
      <w:pPr>
        <w:pStyle w:val="ListParagraph"/>
        <w:numPr>
          <w:ilvl w:val="0"/>
          <w:numId w:val="2"/>
        </w:numPr>
        <w:jc w:val="both"/>
      </w:pPr>
      <w:r w:rsidRPr="004504F2">
        <w:t>We must look at previous successful schemes for electronic monitoring – as the cost reduces we may be able to implement these</w:t>
      </w:r>
    </w:p>
    <w:p w:rsidR="00E239D2" w:rsidRPr="004504F2" w:rsidRDefault="00E239D2" w:rsidP="004504F2">
      <w:pPr>
        <w:pStyle w:val="ListParagraph"/>
        <w:numPr>
          <w:ilvl w:val="0"/>
          <w:numId w:val="2"/>
        </w:numPr>
        <w:jc w:val="both"/>
      </w:pPr>
      <w:r w:rsidRPr="004504F2">
        <w:t>We need a GIRFEO response – Getting It Right for Every Offender</w:t>
      </w:r>
    </w:p>
    <w:p w:rsidR="00E239D2" w:rsidRPr="004504F2" w:rsidRDefault="00E239D2" w:rsidP="004504F2">
      <w:pPr>
        <w:pStyle w:val="ListParagraph"/>
        <w:numPr>
          <w:ilvl w:val="0"/>
          <w:numId w:val="2"/>
        </w:numPr>
        <w:jc w:val="both"/>
      </w:pPr>
      <w:r w:rsidRPr="004504F2">
        <w:t>Community health and education programmes must be increased – people should not have to commit a crime before they receive treatment</w:t>
      </w:r>
    </w:p>
    <w:p w:rsidR="00E239D2" w:rsidRPr="004504F2" w:rsidRDefault="00E239D2" w:rsidP="004504F2">
      <w:pPr>
        <w:pStyle w:val="ListParagraph"/>
        <w:numPr>
          <w:ilvl w:val="0"/>
          <w:numId w:val="2"/>
        </w:numPr>
        <w:jc w:val="both"/>
      </w:pPr>
      <w:r w:rsidRPr="004504F2">
        <w:t>The best way to save money in the CJ system is by closing prisons. Barlinnie prison is due to be rebuilt to the cost in excess of £150 million. If we significantly reduce the remand population and increase diversion programmes we could look at not building such an expensive replacement. If we had fully implemented the Angiolini recommendations we could have closed Cornton Vale by now.</w:t>
      </w:r>
    </w:p>
    <w:p w:rsidR="00E239D2" w:rsidRPr="004504F2" w:rsidRDefault="00E239D2" w:rsidP="004504F2">
      <w:pPr>
        <w:pStyle w:val="ListParagraph"/>
        <w:numPr>
          <w:ilvl w:val="0"/>
          <w:numId w:val="2"/>
        </w:numPr>
        <w:jc w:val="both"/>
      </w:pPr>
      <w:r w:rsidRPr="004504F2">
        <w:t>We need primary legislation to bring in new laws surrounding the use of remand – we must do this – make it happen</w:t>
      </w:r>
    </w:p>
    <w:p w:rsidR="00E239D2" w:rsidRPr="004504F2" w:rsidRDefault="00E239D2" w:rsidP="004504F2">
      <w:pPr>
        <w:pStyle w:val="ListParagraph"/>
        <w:jc w:val="both"/>
      </w:pPr>
    </w:p>
    <w:p w:rsidR="00E239D2" w:rsidRPr="004504F2" w:rsidRDefault="00E239D2" w:rsidP="004504F2">
      <w:pPr>
        <w:jc w:val="both"/>
        <w:rPr>
          <w:i/>
        </w:rPr>
      </w:pPr>
      <w:r w:rsidRPr="004504F2">
        <w:rPr>
          <w:i/>
        </w:rPr>
        <w:t>SCCCJ, 11</w:t>
      </w:r>
      <w:r w:rsidRPr="004504F2">
        <w:rPr>
          <w:i/>
          <w:vertAlign w:val="superscript"/>
        </w:rPr>
        <w:t>th</w:t>
      </w:r>
      <w:r w:rsidRPr="004504F2">
        <w:rPr>
          <w:i/>
        </w:rPr>
        <w:t xml:space="preserve"> December 2015 </w:t>
      </w:r>
    </w:p>
    <w:p w:rsidR="00E239D2" w:rsidRPr="004504F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Default="00E239D2" w:rsidP="004504F2">
      <w:pPr>
        <w:jc w:val="both"/>
      </w:pPr>
    </w:p>
    <w:p w:rsidR="00E239D2" w:rsidRPr="004504F2" w:rsidRDefault="00E239D2" w:rsidP="004504F2">
      <w:pPr>
        <w:jc w:val="both"/>
      </w:pPr>
    </w:p>
    <w:p w:rsidR="00E239D2" w:rsidRPr="004504F2" w:rsidRDefault="00E239D2" w:rsidP="004504F2">
      <w:pPr>
        <w:jc w:val="center"/>
        <w:rPr>
          <w:b/>
        </w:rPr>
      </w:pPr>
      <w:r w:rsidRPr="004504F2">
        <w:rPr>
          <w:b/>
        </w:rPr>
        <w:t>Appendix: Remand Figures England, Wales, Scotland, Northern Ireland</w:t>
      </w:r>
    </w:p>
    <w:p w:rsidR="00E239D2" w:rsidRPr="004504F2" w:rsidRDefault="00E239D2" w:rsidP="004504F2">
      <w:pPr>
        <w:jc w:val="both"/>
      </w:pPr>
    </w:p>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 xml:space="preserve">Remand in England and Wales </w:t>
      </w:r>
      <w:r w:rsidRPr="004504F2">
        <w:rPr>
          <w:rFonts w:ascii="Times New Roman" w:hAnsi="Times New Roman"/>
          <w:i/>
          <w:sz w:val="24"/>
          <w:szCs w:val="24"/>
        </w:rPr>
        <w:t>(Source: ICPS)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4017"/>
        <w:gridCol w:w="3285"/>
      </w:tblGrid>
      <w:tr w:rsidR="00E239D2" w:rsidRPr="004504F2" w:rsidTr="00F53B67">
        <w:tc>
          <w:tcPr>
            <w:tcW w:w="2552"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Year</w:t>
            </w:r>
          </w:p>
        </w:tc>
        <w:tc>
          <w:tcPr>
            <w:tcW w:w="4017"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Percentage of prison population</w:t>
            </w:r>
          </w:p>
        </w:tc>
        <w:tc>
          <w:tcPr>
            <w:tcW w:w="3285"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Remand imprisonment rate</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17.5%</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22</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16.9%</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24</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15.3%</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24</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13.8%</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21</w:t>
            </w:r>
          </w:p>
        </w:tc>
      </w:tr>
    </w:tbl>
    <w:p w:rsidR="00E239D2" w:rsidRPr="004504F2" w:rsidRDefault="00E239D2" w:rsidP="004504F2">
      <w:pPr>
        <w:pStyle w:val="BodyA"/>
        <w:jc w:val="both"/>
        <w:rPr>
          <w:rFonts w:ascii="Times New Roman" w:hAnsi="Times New Roman"/>
          <w:b w:val="0"/>
          <w:sz w:val="24"/>
          <w:szCs w:val="24"/>
        </w:rPr>
      </w:pPr>
    </w:p>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 xml:space="preserve">Remand in Scotland </w:t>
      </w:r>
      <w:r w:rsidRPr="004504F2">
        <w:rPr>
          <w:rFonts w:ascii="Times New Roman" w:hAnsi="Times New Roman"/>
          <w:i/>
          <w:sz w:val="24"/>
          <w:szCs w:val="24"/>
        </w:rPr>
        <w:t>(Source: ICPS)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4017"/>
        <w:gridCol w:w="3285"/>
      </w:tblGrid>
      <w:tr w:rsidR="00E239D2" w:rsidRPr="004504F2" w:rsidTr="00F53B67">
        <w:tc>
          <w:tcPr>
            <w:tcW w:w="2552"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Year</w:t>
            </w:r>
          </w:p>
        </w:tc>
        <w:tc>
          <w:tcPr>
            <w:tcW w:w="4017"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Percentage of prison population</w:t>
            </w:r>
          </w:p>
        </w:tc>
        <w:tc>
          <w:tcPr>
            <w:tcW w:w="3285"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Remand imprisonment rate</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16.2%</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19</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17.3%</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23</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18.3%</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28</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19.6%</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29</w:t>
            </w:r>
          </w:p>
        </w:tc>
      </w:tr>
    </w:tbl>
    <w:p w:rsidR="00E239D2" w:rsidRPr="004504F2" w:rsidRDefault="00E239D2" w:rsidP="004504F2">
      <w:pPr>
        <w:pStyle w:val="BodyA"/>
        <w:jc w:val="both"/>
        <w:rPr>
          <w:rFonts w:ascii="Times New Roman" w:hAnsi="Times New Roman"/>
          <w:b w:val="0"/>
          <w:sz w:val="24"/>
          <w:szCs w:val="24"/>
        </w:rPr>
      </w:pPr>
    </w:p>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 xml:space="preserve">Remand in Northern Ireland </w:t>
      </w:r>
      <w:r w:rsidRPr="004504F2">
        <w:rPr>
          <w:rFonts w:ascii="Times New Roman" w:hAnsi="Times New Roman"/>
          <w:i/>
          <w:sz w:val="24"/>
          <w:szCs w:val="24"/>
        </w:rPr>
        <w:t>(Source: ICPS)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4017"/>
        <w:gridCol w:w="3285"/>
      </w:tblGrid>
      <w:tr w:rsidR="00E239D2" w:rsidRPr="004504F2" w:rsidTr="00F53B67">
        <w:tc>
          <w:tcPr>
            <w:tcW w:w="2552"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Year</w:t>
            </w:r>
          </w:p>
        </w:tc>
        <w:tc>
          <w:tcPr>
            <w:tcW w:w="4017"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Percentage of prison population</w:t>
            </w:r>
          </w:p>
        </w:tc>
        <w:tc>
          <w:tcPr>
            <w:tcW w:w="3285"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Remand imprisonment rate</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29.1%</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19</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2005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34.1%</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26</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2010</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34.7%</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28</w:t>
            </w:r>
          </w:p>
        </w:tc>
      </w:tr>
      <w:tr w:rsidR="00E239D2" w:rsidRPr="004504F2" w:rsidTr="00F53B67">
        <w:tc>
          <w:tcPr>
            <w:tcW w:w="2552"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2015</w:t>
            </w:r>
          </w:p>
        </w:tc>
        <w:tc>
          <w:tcPr>
            <w:tcW w:w="401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24.6%</w:t>
            </w:r>
          </w:p>
        </w:tc>
        <w:tc>
          <w:tcPr>
            <w:tcW w:w="3285"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21</w:t>
            </w:r>
          </w:p>
        </w:tc>
      </w:tr>
    </w:tbl>
    <w:p w:rsidR="00E239D2" w:rsidRPr="004504F2" w:rsidRDefault="00E239D2" w:rsidP="004504F2">
      <w:pPr>
        <w:pStyle w:val="BodyA"/>
        <w:jc w:val="both"/>
        <w:rPr>
          <w:rFonts w:ascii="Times New Roman" w:hAnsi="Times New Roman"/>
          <w:b w:val="0"/>
          <w:sz w:val="24"/>
          <w:szCs w:val="24"/>
        </w:rPr>
      </w:pPr>
    </w:p>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 xml:space="preserve">Use of bail supervision, 2013/14 </w:t>
      </w:r>
      <w:r w:rsidRPr="004504F2">
        <w:rPr>
          <w:rFonts w:ascii="Times New Roman" w:hAnsi="Times New Roman"/>
          <w:i/>
          <w:sz w:val="24"/>
          <w:szCs w:val="24"/>
        </w:rPr>
        <w:t>(Source: Scottish Government)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E239D2" w:rsidRPr="004504F2" w:rsidTr="00F53B67">
        <w:tc>
          <w:tcPr>
            <w:tcW w:w="4927"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Community Justice Authority Area</w:t>
            </w:r>
          </w:p>
        </w:tc>
        <w:tc>
          <w:tcPr>
            <w:tcW w:w="4927" w:type="dxa"/>
          </w:tcPr>
          <w:p w:rsidR="00E239D2" w:rsidRPr="004504F2" w:rsidRDefault="00E239D2" w:rsidP="004504F2">
            <w:pPr>
              <w:pStyle w:val="BodyA"/>
              <w:jc w:val="both"/>
              <w:rPr>
                <w:rFonts w:ascii="Times New Roman" w:hAnsi="Times New Roman"/>
                <w:sz w:val="24"/>
                <w:szCs w:val="24"/>
              </w:rPr>
            </w:pPr>
            <w:r w:rsidRPr="004504F2">
              <w:rPr>
                <w:rFonts w:ascii="Times New Roman" w:hAnsi="Times New Roman"/>
                <w:sz w:val="24"/>
                <w:szCs w:val="24"/>
              </w:rPr>
              <w:t>Number of individuals placed on supervised bail</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Glasgow</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8</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Lothian and Borders</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53</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Fife and Forth Valley</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106</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Northern</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18</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South West Scotland</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100</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Tayside</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77</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Lanarkshire</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38</w:t>
            </w:r>
          </w:p>
        </w:tc>
      </w:tr>
      <w:tr w:rsidR="00E239D2" w:rsidRPr="004504F2" w:rsidTr="00F53B67">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North Strathclyde</w:t>
            </w:r>
          </w:p>
        </w:tc>
        <w:tc>
          <w:tcPr>
            <w:tcW w:w="4927" w:type="dxa"/>
          </w:tcPr>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0</w:t>
            </w:r>
          </w:p>
        </w:tc>
      </w:tr>
    </w:tbl>
    <w:p w:rsidR="00E239D2" w:rsidRPr="004504F2" w:rsidRDefault="00E239D2" w:rsidP="004504F2">
      <w:pPr>
        <w:pStyle w:val="BodyA"/>
        <w:jc w:val="both"/>
        <w:rPr>
          <w:rFonts w:ascii="Times New Roman" w:hAnsi="Times New Roman"/>
          <w:b w:val="0"/>
          <w:sz w:val="24"/>
          <w:szCs w:val="24"/>
        </w:rPr>
      </w:pPr>
    </w:p>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Data provided by Lisa Mackenzie, Howard League Scotland</w:t>
      </w:r>
    </w:p>
    <w:p w:rsidR="00E239D2" w:rsidRPr="004504F2" w:rsidRDefault="00E239D2" w:rsidP="004504F2">
      <w:pPr>
        <w:pStyle w:val="BodyA"/>
        <w:jc w:val="both"/>
        <w:rPr>
          <w:rFonts w:ascii="Times New Roman" w:hAnsi="Times New Roman"/>
          <w:b w:val="0"/>
          <w:sz w:val="24"/>
          <w:szCs w:val="24"/>
        </w:rPr>
      </w:pPr>
      <w:r w:rsidRPr="004504F2">
        <w:rPr>
          <w:rFonts w:ascii="Times New Roman" w:hAnsi="Times New Roman"/>
          <w:b w:val="0"/>
          <w:sz w:val="24"/>
          <w:szCs w:val="24"/>
        </w:rPr>
        <w:t>4 December 2015</w:t>
      </w:r>
    </w:p>
    <w:p w:rsidR="00E239D2" w:rsidRDefault="00E239D2" w:rsidP="004504F2">
      <w:pPr>
        <w:jc w:val="both"/>
      </w:pPr>
    </w:p>
    <w:p w:rsidR="00E239D2" w:rsidRPr="004504F2" w:rsidRDefault="00E239D2" w:rsidP="004504F2">
      <w:pPr>
        <w:jc w:val="both"/>
      </w:pPr>
    </w:p>
    <w:p w:rsidR="00E239D2" w:rsidRPr="004504F2" w:rsidRDefault="00E239D2" w:rsidP="004504F2">
      <w:pPr>
        <w:jc w:val="both"/>
      </w:pPr>
      <w:r w:rsidRPr="004504F2">
        <w:t>This event was supported by Sacro.</w:t>
      </w:r>
    </w:p>
    <w:p w:rsidR="00E239D2" w:rsidRPr="004504F2" w:rsidRDefault="00E239D2" w:rsidP="004504F2">
      <w:pPr>
        <w:jc w:val="both"/>
      </w:pPr>
    </w:p>
    <w:p w:rsidR="00E239D2" w:rsidRPr="004504F2" w:rsidRDefault="00E239D2" w:rsidP="004504F2">
      <w:pPr>
        <w:jc w:val="both"/>
      </w:pPr>
      <w:r w:rsidRPr="004504F2">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Sacro CORP LOGO" style="width:172.8pt;height:37.2pt;visibility:visible">
            <v:imagedata r:id="rId11" o:title=""/>
          </v:shape>
        </w:pict>
      </w:r>
    </w:p>
    <w:p w:rsidR="00E239D2" w:rsidRPr="004504F2" w:rsidRDefault="00E239D2" w:rsidP="004504F2">
      <w:pPr>
        <w:jc w:val="both"/>
      </w:pPr>
    </w:p>
    <w:p w:rsidR="00E239D2" w:rsidRPr="004504F2" w:rsidRDefault="00E239D2" w:rsidP="004504F2">
      <w:pPr>
        <w:jc w:val="both"/>
      </w:pPr>
    </w:p>
    <w:p w:rsidR="00E239D2" w:rsidRPr="004504F2" w:rsidRDefault="00E239D2" w:rsidP="004504F2">
      <w:pPr>
        <w:jc w:val="both"/>
      </w:pPr>
      <w:r w:rsidRPr="004504F2">
        <w:t xml:space="preserve">and the </w:t>
      </w:r>
      <w:r w:rsidRPr="004504F2">
        <w:rPr>
          <w:b/>
        </w:rPr>
        <w:t>Monument Trust</w:t>
      </w:r>
      <w:r w:rsidRPr="004504F2">
        <w:t>, part of the Sainsbury Family Charitable Trusts</w:t>
      </w:r>
    </w:p>
    <w:p w:rsidR="00E239D2" w:rsidRPr="004504F2" w:rsidRDefault="00E239D2" w:rsidP="004504F2">
      <w:pPr>
        <w:jc w:val="both"/>
      </w:pPr>
      <w:r w:rsidRPr="004504F2">
        <w:pict>
          <v:shape id="_x0000_i1036" type="#_x0000_t75" alt="The Sainsbury Family Charitable Trusts" style="width:5in;height:54pt">
            <v:imagedata r:id="rId12" r:href="rId13"/>
          </v:shape>
        </w:pict>
      </w:r>
    </w:p>
    <w:p w:rsidR="00E239D2" w:rsidRPr="004504F2" w:rsidRDefault="00E239D2" w:rsidP="004504F2">
      <w:pPr>
        <w:jc w:val="both"/>
      </w:pPr>
    </w:p>
    <w:p w:rsidR="00E239D2" w:rsidRPr="004504F2" w:rsidRDefault="00E239D2" w:rsidP="004504F2">
      <w:pPr>
        <w:jc w:val="both"/>
      </w:pPr>
    </w:p>
    <w:p w:rsidR="00E239D2" w:rsidRPr="004504F2" w:rsidRDefault="00E239D2" w:rsidP="004504F2">
      <w:pPr>
        <w:jc w:val="both"/>
      </w:pPr>
    </w:p>
    <w:sectPr w:rsidR="00E239D2" w:rsidRPr="004504F2" w:rsidSect="00D0470E">
      <w:headerReference w:type="first" r:id="rId14"/>
      <w:footerReference w:type="first" r:id="rId15"/>
      <w:pgSz w:w="11906" w:h="16838" w:code="9"/>
      <w:pgMar w:top="340" w:right="851" w:bottom="346"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9D2" w:rsidRDefault="00E239D2">
      <w:r>
        <w:separator/>
      </w:r>
    </w:p>
  </w:endnote>
  <w:endnote w:type="continuationSeparator" w:id="0">
    <w:p w:rsidR="00E239D2" w:rsidRDefault="00E239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elix Titling">
    <w:altName w:val="Gabriola"/>
    <w:panose1 w:val="04060505060202020A04"/>
    <w:charset w:val="00"/>
    <w:family w:val="decorativ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 Pro W3">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9D2" w:rsidRDefault="00E239D2" w:rsidP="00D0470E">
    <w:pPr>
      <w:jc w:val="center"/>
      <w:rPr>
        <w:rFonts w:ascii="Felix Titling" w:hAnsi="Felix Titling"/>
        <w:sz w:val="20"/>
      </w:rPr>
    </w:pPr>
  </w:p>
  <w:p w:rsidR="00E239D2" w:rsidRPr="00CF2C96" w:rsidRDefault="00E239D2" w:rsidP="00D0470E">
    <w:pPr>
      <w:jc w:val="center"/>
      <w:rPr>
        <w:sz w:val="20"/>
      </w:rPr>
    </w:pPr>
    <w:r w:rsidRPr="00CF2C96">
      <w:rPr>
        <w:sz w:val="20"/>
      </w:rPr>
      <w:t xml:space="preserve">ADMINISTRATOR: Helen Rolph, 2/1, </w:t>
    </w:r>
    <w:smartTag w:uri="urn:schemas-microsoft-com:office:smarttags" w:element="address">
      <w:smartTag w:uri="urn:schemas-microsoft-com:office:smarttags" w:element="PersonName">
        <w:smartTag w:uri="urn:schemas-microsoft-com:office:smarttags" w:element="PersonName">
          <w:smartTag w:uri="urn:schemas-microsoft-com:office:smarttags" w:element="Street">
            <w:r w:rsidRPr="00CF2C96">
              <w:rPr>
                <w:sz w:val="20"/>
              </w:rPr>
              <w:t>10 CAIRD DRIVE</w:t>
            </w:r>
          </w:smartTag>
        </w:smartTag>
        <w:r w:rsidRPr="00CF2C96">
          <w:rPr>
            <w:sz w:val="20"/>
          </w:rPr>
          <w:t xml:space="preserve">, </w:t>
        </w:r>
        <w:smartTag w:uri="urn:schemas-microsoft-com:office:smarttags" w:element="PersonName">
          <w:r w:rsidRPr="00CF2C96">
            <w:rPr>
              <w:sz w:val="20"/>
            </w:rPr>
            <w:t>GLASGOW</w:t>
          </w:r>
        </w:smartTag>
        <w:r w:rsidRPr="00CF2C96">
          <w:rPr>
            <w:sz w:val="20"/>
          </w:rPr>
          <w:t xml:space="preserve"> </w:t>
        </w:r>
        <w:smartTag w:uri="urn:schemas-microsoft-com:office:smarttags" w:element="PersonName">
          <w:r w:rsidRPr="00CF2C96">
            <w:rPr>
              <w:sz w:val="20"/>
            </w:rPr>
            <w:t>G11 5DS</w:t>
          </w:r>
        </w:smartTag>
      </w:smartTag>
    </w:smartTag>
    <w:r w:rsidRPr="00CF2C96">
      <w:rPr>
        <w:sz w:val="20"/>
      </w:rPr>
      <w:t>, TEL: 0141 5343123; 07811 384 083</w:t>
    </w:r>
  </w:p>
  <w:p w:rsidR="00E239D2" w:rsidRPr="00CF2C96" w:rsidRDefault="00E239D2" w:rsidP="00D0470E">
    <w:pPr>
      <w:jc w:val="center"/>
      <w:rPr>
        <w:sz w:val="14"/>
      </w:rPr>
    </w:pPr>
    <w:r w:rsidRPr="00CF2C96">
      <w:rPr>
        <w:sz w:val="20"/>
      </w:rPr>
      <w:t xml:space="preserve">EMAIL </w:t>
    </w:r>
    <w:smartTag w:uri="urn:schemas-microsoft-com:office:smarttags" w:element="PersonName">
      <w:r w:rsidRPr="00CF2C96">
        <w:rPr>
          <w:sz w:val="20"/>
        </w:rPr>
        <w:t>scccj.info@ntlworld.com</w:t>
      </w:r>
    </w:smartTag>
    <w:r w:rsidRPr="00CF2C96">
      <w:rPr>
        <w:sz w:val="20"/>
      </w:rPr>
      <w:t xml:space="preserve">, WEBSITE </w:t>
    </w:r>
    <w:hyperlink r:id="rId1" w:history="1">
      <w:r w:rsidRPr="00CF2C96">
        <w:rPr>
          <w:rStyle w:val="Hyperlink"/>
          <w:sz w:val="20"/>
        </w:rPr>
        <w:t>WWW.SCCCJ.ORG.UK</w:t>
      </w:r>
    </w:hyperlink>
    <w:r w:rsidRPr="00CF2C96">
      <w:rPr>
        <w:sz w:val="20"/>
      </w:rPr>
      <w:t xml:space="preserve"> CHARITY NO. SC029421</w:t>
    </w:r>
  </w:p>
  <w:p w:rsidR="00E239D2" w:rsidRDefault="00E239D2" w:rsidP="00D0470E">
    <w:pPr>
      <w:rPr>
        <w:rFonts w:ascii="Felix Titling" w:hAnsi="Felix Titling"/>
        <w:sz w:val="20"/>
      </w:rPr>
    </w:pPr>
    <w:r w:rsidRPr="00BB2F1B">
      <w:rPr>
        <w:rFonts w:ascii="Felix Titling" w:hAnsi="Felix Titling"/>
        <w:noProof/>
        <w:sz w:val="1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31" type="#_x0000_t75" alt="apexlogoglarge" style="width:45pt;height:41.4pt;visibility:visible">
          <v:imagedata r:id="rId2" o:title=""/>
        </v:shape>
      </w:pict>
    </w:r>
    <w:r>
      <w:rPr>
        <w:rFonts w:ascii="Felix Titling" w:hAnsi="Felix Titling"/>
        <w:sz w:val="14"/>
      </w:rPr>
      <w:tab/>
    </w:r>
    <w:r>
      <w:rPr>
        <w:rFonts w:ascii="Felix Titling" w:hAnsi="Felix Titling"/>
        <w:sz w:val="16"/>
      </w:rPr>
      <w:tab/>
    </w:r>
    <w:r w:rsidRPr="00BB2F1B">
      <w:rPr>
        <w:rFonts w:ascii="Felix Titling" w:hAnsi="Felix Titling"/>
        <w:noProof/>
        <w:sz w:val="16"/>
        <w:lang w:eastAsia="en-GB"/>
      </w:rPr>
      <w:pict>
        <v:shape id="Picture 2" o:spid="_x0000_i1032" type="#_x0000_t75" alt="HLS_Logo_stacked" style="width:86.4pt;height:28.8pt;visibility:visible">
          <v:imagedata r:id="rId3" o:title=""/>
        </v:shape>
      </w:pict>
    </w:r>
    <w:r>
      <w:rPr>
        <w:rFonts w:ascii="Felix Titling" w:hAnsi="Felix Titling"/>
        <w:sz w:val="16"/>
      </w:rPr>
      <w:tab/>
    </w:r>
    <w:r>
      <w:rPr>
        <w:rFonts w:ascii="Felix Titling" w:hAnsi="Felix Titling"/>
        <w:sz w:val="16"/>
      </w:rPr>
      <w:tab/>
    </w:r>
    <w:r>
      <w:rPr>
        <w:rFonts w:ascii="Felix Titling" w:hAnsi="Felix Titling"/>
        <w:sz w:val="16"/>
      </w:rPr>
      <w:tab/>
    </w:r>
    <w:r>
      <w:pict>
        <v:shape id="irc_mi" o:spid="_x0000_i1033" type="#_x0000_t75" alt="" style="width:58.2pt;height:34.8pt">
          <v:imagedata r:id="rId4" r:href="rId5"/>
        </v:shape>
      </w:pict>
    </w:r>
    <w:r>
      <w:rPr>
        <w:rFonts w:ascii="Felix Titling" w:hAnsi="Felix Titling"/>
        <w:sz w:val="16"/>
      </w:rPr>
      <w:tab/>
    </w:r>
    <w:r>
      <w:rPr>
        <w:rFonts w:ascii="Felix Titling" w:hAnsi="Felix Titling"/>
        <w:sz w:val="16"/>
      </w:rPr>
      <w:tab/>
    </w:r>
    <w:r w:rsidRPr="00BB2F1B">
      <w:rPr>
        <w:rFonts w:ascii="Felix Titling" w:hAnsi="Felix Titling"/>
        <w:noProof/>
        <w:sz w:val="16"/>
        <w:lang w:eastAsia="en-GB"/>
      </w:rPr>
      <w:pict>
        <v:shape id="Picture 1" o:spid="_x0000_i1034" type="#_x0000_t75" alt="Sacro CORP LOGO" style="width:101.4pt;height:22.8pt;visibility:visible">
          <v:imagedata r:id="rId6" o:title=""/>
        </v:shape>
      </w:pict>
    </w:r>
    <w:r>
      <w:rPr>
        <w:rFonts w:ascii="Felix Titling" w:hAnsi="Felix Titling"/>
        <w:sz w:val="20"/>
      </w:rPr>
      <w:tab/>
    </w:r>
  </w:p>
  <w:p w:rsidR="00E239D2" w:rsidRDefault="00E239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9D2" w:rsidRDefault="00E239D2">
      <w:r>
        <w:separator/>
      </w:r>
    </w:p>
  </w:footnote>
  <w:footnote w:type="continuationSeparator" w:id="0">
    <w:p w:rsidR="00E239D2" w:rsidRDefault="00E239D2">
      <w:r>
        <w:continuationSeparator/>
      </w:r>
    </w:p>
  </w:footnote>
  <w:footnote w:id="1">
    <w:p w:rsidR="00E239D2" w:rsidRDefault="00E239D2" w:rsidP="004504F2">
      <w:pPr>
        <w:pStyle w:val="FootnoteText"/>
        <w:ind w:right="522"/>
        <w:contextualSpacing/>
        <w:jc w:val="both"/>
      </w:pPr>
      <w:r>
        <w:rPr>
          <w:rStyle w:val="FootnoteReference"/>
        </w:rPr>
        <w:footnoteRef/>
      </w:r>
      <w:r>
        <w:t xml:space="preserve"> </w:t>
      </w:r>
      <w:r w:rsidRPr="00502185">
        <w:rPr>
          <w:lang/>
        </w:rPr>
        <w:t>Michael Matheson (2015) ‘</w:t>
      </w:r>
      <w:r w:rsidRPr="00502185">
        <w:rPr>
          <w:lang/>
        </w:rPr>
        <w:t xml:space="preserve">My vision of how Scotland can change the way the world treats female offenders’ </w:t>
      </w:r>
      <w:r w:rsidRPr="00502185">
        <w:rPr>
          <w:i/>
          <w:lang/>
        </w:rPr>
        <w:t>Sunday Herald</w:t>
      </w:r>
      <w:r w:rsidRPr="00502185">
        <w:rPr>
          <w:lang/>
        </w:rPr>
        <w:t xml:space="preserve"> 24 May 2015</w:t>
      </w:r>
    </w:p>
  </w:footnote>
  <w:footnote w:id="2">
    <w:p w:rsidR="00E239D2" w:rsidRDefault="00E239D2" w:rsidP="004504F2">
      <w:pPr>
        <w:pStyle w:val="FootnoteText"/>
        <w:ind w:right="522"/>
        <w:contextualSpacing/>
        <w:jc w:val="both"/>
      </w:pPr>
      <w:r>
        <w:rPr>
          <w:rStyle w:val="FootnoteReference"/>
        </w:rPr>
        <w:footnoteRef/>
      </w:r>
      <w:r>
        <w:t xml:space="preserve"> Michael Matheson Apex Scotland lecture 2015</w:t>
      </w:r>
    </w:p>
  </w:footnote>
  <w:footnote w:id="3">
    <w:p w:rsidR="00E239D2" w:rsidRDefault="00E239D2" w:rsidP="004504F2">
      <w:pPr>
        <w:pStyle w:val="FootnoteText"/>
        <w:ind w:right="522"/>
        <w:contextualSpacing/>
        <w:jc w:val="both"/>
      </w:pPr>
      <w:r w:rsidRPr="00D763B7">
        <w:rPr>
          <w:rStyle w:val="FootnoteReference"/>
        </w:rPr>
        <w:footnoteRef/>
      </w:r>
      <w:r w:rsidRPr="00D763B7">
        <w:t xml:space="preserve"> “Proposals for bold action on reoffending: Views sought on further measures to address ‘ineffective’ short prison sentences” </w:t>
      </w:r>
      <w:r>
        <w:t>Scottish Government news release 25</w:t>
      </w:r>
      <w:r w:rsidRPr="00D763B7">
        <w:rPr>
          <w:vertAlign w:val="superscript"/>
        </w:rPr>
        <w:t>th</w:t>
      </w:r>
      <w:r>
        <w:t xml:space="preserve"> September 2015</w:t>
      </w:r>
    </w:p>
  </w:footnote>
  <w:footnote w:id="4">
    <w:p w:rsidR="00E239D2" w:rsidRDefault="00E239D2" w:rsidP="004504F2">
      <w:pPr>
        <w:pStyle w:val="FootnoteText"/>
        <w:ind w:right="522"/>
        <w:contextualSpacing/>
        <w:jc w:val="both"/>
      </w:pPr>
      <w:r>
        <w:rPr>
          <w:rStyle w:val="FootnoteReference"/>
        </w:rPr>
        <w:footnoteRef/>
      </w:r>
      <w:r>
        <w:t xml:space="preserve"> Scottish Government Financial Memorandum amended at Stage 2 </w:t>
      </w:r>
      <w:r w:rsidRPr="00CD2A66">
        <w:t xml:space="preserve">SP Bill 54A–FM </w:t>
      </w:r>
      <w:hyperlink r:id="rId1" w:history="1">
        <w:r w:rsidRPr="007802E9">
          <w:rPr>
            <w:rStyle w:val="Hyperlink"/>
          </w:rPr>
          <w:t>http://www.scottish.parliament.uk/S4_Bills/Prisoners%20(Scotland)%20Bill/b54as4-stage2-fm-rev2.pdf</w:t>
        </w:r>
      </w:hyperlink>
      <w:r>
        <w:t xml:space="preserve"> </w:t>
      </w:r>
    </w:p>
  </w:footnote>
  <w:footnote w:id="5">
    <w:p w:rsidR="00E239D2" w:rsidRDefault="00E239D2" w:rsidP="004504F2">
      <w:pPr>
        <w:pStyle w:val="FootnoteText"/>
        <w:ind w:right="522"/>
        <w:contextualSpacing/>
        <w:jc w:val="both"/>
      </w:pPr>
      <w:r>
        <w:rPr>
          <w:rStyle w:val="FootnoteReference"/>
        </w:rPr>
        <w:footnoteRef/>
      </w:r>
      <w:r>
        <w:t xml:space="preserve"> Joint Briefing and Analysis at Stage 3 to MSPs: ref xxx</w:t>
      </w:r>
    </w:p>
  </w:footnote>
  <w:footnote w:id="6">
    <w:p w:rsidR="00E239D2" w:rsidRDefault="00E239D2" w:rsidP="004504F2">
      <w:pPr>
        <w:pStyle w:val="FootnoteText"/>
        <w:ind w:right="522"/>
        <w:contextualSpacing/>
        <w:jc w:val="both"/>
      </w:pPr>
      <w:r>
        <w:rPr>
          <w:rStyle w:val="FootnoteReference"/>
        </w:rPr>
        <w:footnoteRef/>
      </w:r>
      <w:r>
        <w:t xml:space="preserve"> See the Scottish Government (2015) Policy Memorandum on Stage 1 of the Prisoners Control of Release (S) Bill paras 48-56 which concludes by stating: “[T]he Scottish Government considers that the reforms in this Bill….will potentially bring into sharper focus the merits of imposing Extended Sentences in individual cases.”</w:t>
      </w:r>
    </w:p>
  </w:footnote>
  <w:footnote w:id="7">
    <w:p w:rsidR="00E239D2" w:rsidRDefault="00E239D2" w:rsidP="004504F2">
      <w:pPr>
        <w:pStyle w:val="FootnoteText"/>
        <w:ind w:right="522"/>
        <w:contextualSpacing/>
        <w:jc w:val="both"/>
      </w:pPr>
      <w:r>
        <w:rPr>
          <w:rStyle w:val="FootnoteReference"/>
        </w:rPr>
        <w:footnoteRef/>
      </w:r>
      <w:r>
        <w:t xml:space="preserve"> Care needs to be taken in comparing the levels of reoffending in custodially sentenced cases with community penalty cases. Some of the more expansive claims made by reformers fail to compare like with like. However, careful research has shown repeatedly that non-custodial sanctions (and where possible diversion are more effective (or at least ineffective) than imprisonment. See for example: </w:t>
      </w:r>
      <w:r w:rsidRPr="00502185">
        <w:t xml:space="preserve">See e.g. T Chiciros K Barrick W Balles and S Bontrager ‘The Labeling of Convicted Felons and its Consequences for Recidivism’ </w:t>
      </w:r>
      <w:r w:rsidRPr="00502185">
        <w:rPr>
          <w:i/>
          <w:iCs/>
        </w:rPr>
        <w:t xml:space="preserve">Criminology </w:t>
      </w:r>
      <w:r w:rsidRPr="00502185">
        <w:rPr>
          <w:iCs/>
        </w:rPr>
        <w:t>45(3): 547-581</w:t>
      </w:r>
      <w:r w:rsidRPr="007F557A">
        <w:rPr>
          <w:sz w:val="24"/>
          <w:szCs w:val="24"/>
        </w:rPr>
        <w:t xml:space="preserve"> </w:t>
      </w:r>
      <w:r w:rsidRPr="007F557A">
        <w:rPr>
          <w:iCs/>
        </w:rPr>
        <w:t>Moreover, because it necessitates social exclusion, exacerbates a sense of social dislocation and stigmatises for life</w:t>
      </w:r>
      <w:r>
        <w:rPr>
          <w:iCs/>
        </w:rPr>
        <w:t>,</w:t>
      </w:r>
      <w:r w:rsidRPr="007F557A">
        <w:rPr>
          <w:iCs/>
        </w:rPr>
        <w:t xml:space="preserve"> imprisonment makes the subsequent attempts to move away from offending all the more difficult</w:t>
      </w:r>
      <w:r>
        <w:rPr>
          <w:iCs/>
        </w:rPr>
        <w:t>. See also Scottish Government (2011)</w:t>
      </w:r>
      <w:r w:rsidRPr="009A4144">
        <w:rPr>
          <w:i/>
          <w:iCs/>
        </w:rPr>
        <w:t>What works to reduce reoffending: a summary of the review of the evidence.</w:t>
      </w:r>
    </w:p>
  </w:footnote>
  <w:footnote w:id="8">
    <w:p w:rsidR="00E239D2" w:rsidRDefault="00E239D2" w:rsidP="004504F2">
      <w:pPr>
        <w:pStyle w:val="FootnoteText"/>
        <w:ind w:right="522"/>
        <w:contextualSpacing/>
        <w:jc w:val="both"/>
      </w:pPr>
      <w:r>
        <w:rPr>
          <w:rStyle w:val="FootnoteReference"/>
        </w:rPr>
        <w:footnoteRef/>
      </w:r>
      <w:r>
        <w:t xml:space="preserve"> Report of the Scottish Prison Commission (2008) </w:t>
      </w:r>
      <w:r w:rsidRPr="009A4144">
        <w:rPr>
          <w:i/>
        </w:rPr>
        <w:t>Scotland’s Choice</w:t>
      </w:r>
      <w:r>
        <w:t xml:space="preserve"> (Scottish Government) part 3</w:t>
      </w:r>
    </w:p>
  </w:footnote>
  <w:footnote w:id="9">
    <w:p w:rsidR="00E239D2" w:rsidRDefault="00E239D2" w:rsidP="004504F2">
      <w:pPr>
        <w:pStyle w:val="FootnoteText"/>
        <w:ind w:right="522"/>
        <w:contextualSpacing/>
        <w:jc w:val="both"/>
      </w:pPr>
      <w:r>
        <w:rPr>
          <w:rStyle w:val="FootnoteReference"/>
        </w:rPr>
        <w:footnoteRef/>
      </w:r>
      <w:r>
        <w:t xml:space="preserve"> Scottish Government (2015) </w:t>
      </w:r>
      <w:r w:rsidRPr="002E4183">
        <w:rPr>
          <w:bCs/>
        </w:rPr>
        <w:t>Consultation on Proposals to Strengthen the Presumption against Short Periods of Imprisonment</w:t>
      </w:r>
      <w:r>
        <w:rPr>
          <w:bCs/>
        </w:rPr>
        <w:t>, p1</w:t>
      </w:r>
    </w:p>
  </w:footnote>
  <w:footnote w:id="10">
    <w:p w:rsidR="00E239D2" w:rsidRDefault="00E239D2" w:rsidP="004504F2">
      <w:pPr>
        <w:pStyle w:val="FootnoteText"/>
        <w:ind w:right="522"/>
        <w:contextualSpacing/>
        <w:jc w:val="both"/>
      </w:pPr>
      <w:r>
        <w:rPr>
          <w:rStyle w:val="FootnoteReference"/>
        </w:rPr>
        <w:footnoteRef/>
      </w:r>
      <w:r>
        <w:t xml:space="preserve"> </w:t>
      </w:r>
      <w:r w:rsidRPr="004963D3">
        <w:t xml:space="preserve">Scottish Government (2015) </w:t>
      </w:r>
      <w:r w:rsidRPr="004963D3">
        <w:rPr>
          <w:i/>
        </w:rPr>
        <w:t>Evaluation of  Community Payback Orders, Criminal Justice Social Work Reports and the Presumption Against Short Sentences</w:t>
      </w:r>
      <w:r w:rsidRPr="004963D3">
        <w:t xml:space="preserve"> </w:t>
      </w:r>
      <w:r>
        <w:t xml:space="preserve">Table 7.1 pp116-7.  See further C Tata (2013) ‘The Struggle for Sentencing Reform’ in A Ashworth and J Roberts (eds) </w:t>
      </w:r>
      <w:r w:rsidRPr="00837696">
        <w:rPr>
          <w:i/>
        </w:rPr>
        <w:t>Sentencing Guidelines</w:t>
      </w:r>
      <w:r>
        <w:t xml:space="preserve"> (Oxford University Press) and Evidence of ‘sentence creep’ was also found in Western Australia where there legislation sought to prohibition of sentences up six months or less (Government of Western Australia Department of Corrective Services (2015) </w:t>
      </w:r>
      <w:r w:rsidRPr="00B63494">
        <w:rPr>
          <w:i/>
        </w:rPr>
        <w:t xml:space="preserve">Briefing Note on the Prohibition of the </w:t>
      </w:r>
      <w:r>
        <w:rPr>
          <w:i/>
        </w:rPr>
        <w:t>si</w:t>
      </w:r>
      <w:r w:rsidRPr="00B63494">
        <w:rPr>
          <w:i/>
        </w:rPr>
        <w:t>x Month Sentence</w:t>
      </w:r>
      <w:r>
        <w:t xml:space="preserve">. </w:t>
      </w:r>
    </w:p>
  </w:footnote>
  <w:footnote w:id="11">
    <w:p w:rsidR="00E239D2" w:rsidRDefault="00E239D2" w:rsidP="004504F2">
      <w:pPr>
        <w:pStyle w:val="FootnoteText"/>
        <w:ind w:right="522"/>
        <w:contextualSpacing/>
        <w:jc w:val="both"/>
      </w:pPr>
      <w:r>
        <w:rPr>
          <w:rStyle w:val="FootnoteReference"/>
        </w:rPr>
        <w:footnoteRef/>
      </w:r>
      <w:r>
        <w:t xml:space="preserve"> </w:t>
      </w:r>
      <w:r w:rsidRPr="00837696">
        <w:t xml:space="preserve">Sentence inflation was predicted at the time of the passage of the Bill: Scottish Parliament Justice Committee, </w:t>
      </w:r>
      <w:r w:rsidRPr="00837696">
        <w:rPr>
          <w:i/>
        </w:rPr>
        <w:t>Official Report on Oral Evidence on Criminal Justice &amp; Licensing Bill</w:t>
      </w:r>
      <w:r w:rsidRPr="00837696">
        <w:t xml:space="preserve"> (2009) col 218–220.</w:t>
      </w:r>
    </w:p>
  </w:footnote>
  <w:footnote w:id="12">
    <w:p w:rsidR="00E239D2" w:rsidRPr="00837696" w:rsidRDefault="00E239D2" w:rsidP="004504F2">
      <w:pPr>
        <w:pStyle w:val="FootnoteText"/>
        <w:ind w:right="522"/>
        <w:contextualSpacing/>
        <w:jc w:val="both"/>
      </w:pPr>
      <w:r>
        <w:rPr>
          <w:rStyle w:val="FootnoteReference"/>
        </w:rPr>
        <w:footnoteRef/>
      </w:r>
      <w:r>
        <w:t xml:space="preserve"> </w:t>
      </w:r>
      <w:r w:rsidRPr="00837696">
        <w:t xml:space="preserve">C Tata (2013) ‘The Struggle for Sentencing Reform’ in A Ashworth and J Roberts (eds) </w:t>
      </w:r>
      <w:r w:rsidRPr="00837696">
        <w:rPr>
          <w:i/>
        </w:rPr>
        <w:t>Sentencing Guidelines</w:t>
      </w:r>
      <w:r w:rsidRPr="00837696">
        <w:t xml:space="preserve"> (Oxford University Press)</w:t>
      </w:r>
      <w:r>
        <w:t xml:space="preserve">. </w:t>
      </w:r>
      <w:r w:rsidRPr="00837696">
        <w:t xml:space="preserve"> Evidence of ‘sentence creep’ was also found in Western Australia where there legislation sought to prohibition of sentences up six months or less (Government of Western Australia Department of Corrective Services (2015) </w:t>
      </w:r>
      <w:r w:rsidRPr="00837696">
        <w:rPr>
          <w:i/>
        </w:rPr>
        <w:t>Briefing Note on the Prohibition of the ox Month Sentence</w:t>
      </w:r>
      <w:r w:rsidRPr="00837696">
        <w:t xml:space="preserve">. </w:t>
      </w:r>
    </w:p>
    <w:p w:rsidR="00E239D2" w:rsidRDefault="00E239D2" w:rsidP="004504F2">
      <w:pPr>
        <w:pStyle w:val="FootnoteText"/>
        <w:ind w:right="522"/>
        <w:contextualSpacing/>
        <w:jc w:val="both"/>
      </w:pPr>
    </w:p>
  </w:footnote>
  <w:footnote w:id="13">
    <w:p w:rsidR="00E239D2" w:rsidRDefault="00E239D2" w:rsidP="004504F2">
      <w:pPr>
        <w:pStyle w:val="FootnoteText"/>
        <w:contextualSpacing/>
      </w:pPr>
      <w:r>
        <w:rPr>
          <w:rStyle w:val="FootnoteReference"/>
        </w:rPr>
        <w:footnoteRef/>
      </w:r>
      <w:r>
        <w:t xml:space="preserve"> </w:t>
      </w:r>
      <w:r w:rsidRPr="00D45ADF">
        <w:t xml:space="preserve">Scottish Government (2015) </w:t>
      </w:r>
      <w:r w:rsidRPr="00D45ADF">
        <w:rPr>
          <w:i/>
        </w:rPr>
        <w:t>Evaluation of  Community Payback Orders, Criminal Justice Social Work Reports and the Presumption Against Short Sentences</w:t>
      </w:r>
      <w:r w:rsidRPr="00D45ADF">
        <w:t xml:space="preserve"> </w:t>
      </w:r>
      <w:r>
        <w:t>at paras 52, 63, 7.25, 7.64, 8.25</w:t>
      </w:r>
    </w:p>
  </w:footnote>
  <w:footnote w:id="14">
    <w:p w:rsidR="00E239D2" w:rsidRDefault="00E239D2" w:rsidP="004504F2">
      <w:pPr>
        <w:pStyle w:val="FootnoteText"/>
        <w:ind w:right="522"/>
        <w:contextualSpacing/>
        <w:jc w:val="both"/>
      </w:pPr>
      <w:r>
        <w:rPr>
          <w:rStyle w:val="FootnoteReference"/>
        </w:rPr>
        <w:footnoteRef/>
      </w:r>
      <w:r>
        <w:t xml:space="preserve"> C Tata (2002) ‘Accountability for the Sentencing Decision Process – Towards a New Understanding’ in C Tata and N Hutton (eds) </w:t>
      </w:r>
      <w:r w:rsidRPr="00DF178A">
        <w:rPr>
          <w:i/>
        </w:rPr>
        <w:t>Sentencing &amp; Society: International</w:t>
      </w:r>
      <w:r>
        <w:t xml:space="preserve"> Perspectives (Ashgate)</w:t>
      </w:r>
    </w:p>
  </w:footnote>
  <w:footnote w:id="15">
    <w:p w:rsidR="00E239D2" w:rsidRDefault="00E239D2" w:rsidP="004504F2">
      <w:pPr>
        <w:pStyle w:val="FootnoteText"/>
        <w:ind w:right="522"/>
        <w:contextualSpacing/>
        <w:jc w:val="both"/>
      </w:pPr>
      <w:r>
        <w:rPr>
          <w:rStyle w:val="FootnoteReference"/>
        </w:rPr>
        <w:footnoteRef/>
      </w:r>
      <w:r>
        <w:t xml:space="preserve"> Scottish Government (2015) </w:t>
      </w:r>
      <w:r w:rsidRPr="00D45ADF">
        <w:rPr>
          <w:i/>
        </w:rPr>
        <w:t>Evaluation of  Community Payback Orders, Criminal Justice Social Work Reports and the Presumption Against Short Sentences</w:t>
      </w:r>
      <w:r>
        <w:t xml:space="preserve"> p128</w:t>
      </w:r>
    </w:p>
  </w:footnote>
  <w:footnote w:id="16">
    <w:p w:rsidR="00E239D2" w:rsidRDefault="00E239D2" w:rsidP="004504F2">
      <w:pPr>
        <w:pStyle w:val="FootnoteText"/>
        <w:contextualSpacing/>
      </w:pPr>
      <w:r>
        <w:rPr>
          <w:rStyle w:val="FootnoteReference"/>
        </w:rPr>
        <w:footnoteRef/>
      </w:r>
      <w:r>
        <w:t xml:space="preserve"> This argument is put forward more fully at </w:t>
      </w:r>
      <w:hyperlink r:id="rId2" w:tgtFrame="_blank" w:history="1">
        <w:r w:rsidRPr="00D76786">
          <w:rPr>
            <w:rStyle w:val="Hyperlink"/>
          </w:rPr>
          <w:t>http://ow.ly/SQAEv</w:t>
        </w:r>
      </w:hyperlink>
    </w:p>
  </w:footnote>
  <w:footnote w:id="17">
    <w:p w:rsidR="00E239D2" w:rsidRDefault="00E239D2" w:rsidP="004504F2">
      <w:pPr>
        <w:pStyle w:val="FootnoteText"/>
        <w:ind w:right="522"/>
        <w:contextualSpacing/>
        <w:jc w:val="both"/>
      </w:pPr>
      <w:r>
        <w:rPr>
          <w:rStyle w:val="FootnoteReference"/>
        </w:rPr>
        <w:footnoteRef/>
      </w:r>
      <w:r>
        <w:t xml:space="preserve"> Electronically Monitored Bail was introduced as a pilot in three areas in Scotland over ten years ago when its take up was very low (</w:t>
      </w:r>
      <w:r w:rsidRPr="001F45CE">
        <w:t xml:space="preserve">Barry, M., Malloch, M., Moodie, K., Nellis, M., Knapp, M., Romeo, R., &amp; Dhanasiri, S. (2007) </w:t>
      </w:r>
      <w:r w:rsidRPr="001F45CE">
        <w:rPr>
          <w:i/>
          <w:iCs/>
        </w:rPr>
        <w:t>An Evaluation of the Use of Electronic Monitoring as a Condition of Bail in Scotland</w:t>
      </w:r>
      <w:r w:rsidRPr="001F45CE">
        <w:t>, Edinburgh: Scottish Executive Social Research</w:t>
      </w:r>
      <w:r>
        <w:t>)</w:t>
      </w:r>
      <w:r w:rsidRPr="001F45CE">
        <w:t xml:space="preserve">. </w:t>
      </w:r>
      <w:r>
        <w:t xml:space="preserve"> Arguably, with advances in technology it is time to look again at how it can be used to reduce the use of remand.  See M Nellis ****</w:t>
      </w:r>
    </w:p>
  </w:footnote>
  <w:footnote w:id="18">
    <w:p w:rsidR="00E239D2" w:rsidRDefault="00E239D2" w:rsidP="004504F2">
      <w:pPr>
        <w:pStyle w:val="FootnoteText"/>
        <w:contextualSpacing/>
      </w:pPr>
      <w:r>
        <w:rPr>
          <w:rStyle w:val="FootnoteReference"/>
        </w:rPr>
        <w:footnoteRef/>
      </w:r>
      <w:r>
        <w:t xml:space="preserve"> For </w:t>
      </w:r>
      <w:r w:rsidRPr="008872D4">
        <w:rPr>
          <w:lang w:val="en-US"/>
        </w:rPr>
        <w:t xml:space="preserve">a simple introduction to desistance, see for example, themed issue of </w:t>
      </w:r>
      <w:r w:rsidRPr="008872D4">
        <w:rPr>
          <w:i/>
          <w:iCs/>
          <w:lang w:val="en-US"/>
        </w:rPr>
        <w:t>Scottish Justice Matters</w:t>
      </w:r>
      <w:r w:rsidRPr="008872D4">
        <w:rPr>
          <w:lang w:val="en-US"/>
        </w:rPr>
        <w:t xml:space="preserve"> 1(2) Dec 2013; and some of the policy implications are raised in a short paper by B Weaver and F McNeill (2007) </w:t>
      </w:r>
      <w:r w:rsidRPr="008872D4">
        <w:rPr>
          <w:i/>
          <w:iCs/>
          <w:lang w:val="en-US"/>
        </w:rPr>
        <w:t>Giving up Crime: Directions for Policy</w:t>
      </w:r>
      <w:r w:rsidRPr="008872D4">
        <w:rPr>
          <w:lang w:val="en-US"/>
        </w:rPr>
        <w:t xml:space="preserve"> (SCCJR).</w:t>
      </w:r>
    </w:p>
  </w:footnote>
  <w:footnote w:id="19">
    <w:p w:rsidR="00E239D2" w:rsidRDefault="00E239D2" w:rsidP="004504F2">
      <w:pPr>
        <w:pStyle w:val="FootnoteText"/>
        <w:ind w:right="522"/>
        <w:contextualSpacing/>
        <w:jc w:val="both"/>
      </w:pPr>
      <w:r>
        <w:rPr>
          <w:rStyle w:val="FootnoteReference"/>
        </w:rPr>
        <w:footnoteRef/>
      </w:r>
      <w:r>
        <w:t xml:space="preserve"> Curiously, the CJ&amp;L 2010 Act did not provide for the combination of EM with CPOs. See further Graham and McIvor (2015) </w:t>
      </w:r>
      <w:r w:rsidRPr="001F45CE">
        <w:rPr>
          <w:i/>
        </w:rPr>
        <w:t xml:space="preserve">Scottish and International Review of the Uses of Electronic Monitoring </w:t>
      </w:r>
      <w:r>
        <w:t xml:space="preserve">SCCJR and more generally </w:t>
      </w:r>
      <w:r w:rsidRPr="004963D3">
        <w:t xml:space="preserve">Nellis, M. (2014a) ‘Penal Innovation and the Imaginative Neglect of Electronic Monitoring in Scotland’ </w:t>
      </w:r>
      <w:r w:rsidRPr="004963D3">
        <w:rPr>
          <w:i/>
          <w:iCs/>
        </w:rPr>
        <w:t xml:space="preserve">The Scottish Journal of Criminal Justice Studies </w:t>
      </w:r>
      <w:r w:rsidRPr="004963D3">
        <w:t>20: 14-38.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9D2" w:rsidRDefault="00E239D2" w:rsidP="00D0470E">
    <w:pPr>
      <w:jc w:val="center"/>
      <w:rPr>
        <w:rFonts w:ascii="Felix Titling" w:hAnsi="Felix Titling"/>
      </w:rPr>
    </w:pPr>
    <w:r w:rsidRPr="00BB2F1B">
      <w:rPr>
        <w:rFonts w:ascii="Felix Titling" w:hAnsi="Felix Titling"/>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6" type="#_x0000_t75" alt="scccjlogo" style="width:81.6pt;height:42.6pt;visibility:visible">
          <v:imagedata r:id="rId1" o:title=""/>
        </v:shape>
      </w:pict>
    </w:r>
  </w:p>
  <w:p w:rsidR="00E239D2" w:rsidRPr="001D1A63" w:rsidRDefault="00E239D2" w:rsidP="00D0470E">
    <w:pPr>
      <w:jc w:val="center"/>
      <w:rPr>
        <w:b/>
      </w:rPr>
    </w:pPr>
    <w:r w:rsidRPr="001D1A63">
      <w:rPr>
        <w:b/>
      </w:rPr>
      <w:t>THE SCOTTISH CONSORTIUM ON CRIME AND CRIMINAL JUSTICE</w:t>
    </w:r>
  </w:p>
  <w:p w:rsidR="00E239D2" w:rsidRPr="001D1A63" w:rsidRDefault="00E239D2" w:rsidP="00D0470E">
    <w:pPr>
      <w:pStyle w:val="Heading1"/>
      <w:rPr>
        <w:rFonts w:ascii="Times New Roman" w:hAnsi="Times New Roman"/>
      </w:rPr>
    </w:pPr>
    <w:r w:rsidRPr="001D1A63">
      <w:rPr>
        <w:rFonts w:ascii="Times New Roman" w:hAnsi="Times New Roman"/>
      </w:rPr>
      <w:t xml:space="preserve">CONVENOR, Professor </w:t>
    </w:r>
    <w:smartTag w:uri="urn:schemas-microsoft-com:office:smarttags" w:element="PersonName">
      <w:r w:rsidRPr="001D1A63">
        <w:rPr>
          <w:rFonts w:ascii="Times New Roman" w:hAnsi="Times New Roman"/>
        </w:rPr>
        <w:t>Alec Spencer</w:t>
      </w:r>
    </w:smartTag>
  </w:p>
  <w:p w:rsidR="00E239D2" w:rsidRPr="001D1A63" w:rsidRDefault="00E239D2" w:rsidP="00D0470E">
    <w:pPr>
      <w:pStyle w:val="Heading1"/>
      <w:rPr>
        <w:rFonts w:ascii="Times New Roman" w:hAnsi="Times New Roman"/>
      </w:rPr>
    </w:pPr>
    <w:r w:rsidRPr="001D1A63">
      <w:rPr>
        <w:rFonts w:ascii="Times New Roman" w:hAnsi="Times New Roman"/>
      </w:rPr>
      <w:t>Honorary President, BARONESS VIVIEN STERN CBE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C34B2"/>
    <w:multiLevelType w:val="hybridMultilevel"/>
    <w:tmpl w:val="ABEC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101321"/>
    <w:multiLevelType w:val="hybridMultilevel"/>
    <w:tmpl w:val="3340725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0883"/>
    <w:rsid w:val="000000E1"/>
    <w:rsid w:val="00023D0D"/>
    <w:rsid w:val="00026B2E"/>
    <w:rsid w:val="00037E9B"/>
    <w:rsid w:val="00073E32"/>
    <w:rsid w:val="00075741"/>
    <w:rsid w:val="00086A6E"/>
    <w:rsid w:val="000A07E4"/>
    <w:rsid w:val="000A6B08"/>
    <w:rsid w:val="000B05DE"/>
    <w:rsid w:val="000B3757"/>
    <w:rsid w:val="000D42A9"/>
    <w:rsid w:val="000F0802"/>
    <w:rsid w:val="00105B39"/>
    <w:rsid w:val="00122DDE"/>
    <w:rsid w:val="00126F44"/>
    <w:rsid w:val="001628E8"/>
    <w:rsid w:val="001733D8"/>
    <w:rsid w:val="001928AB"/>
    <w:rsid w:val="00194EC2"/>
    <w:rsid w:val="001974DA"/>
    <w:rsid w:val="001B1B56"/>
    <w:rsid w:val="001B4533"/>
    <w:rsid w:val="001C34AE"/>
    <w:rsid w:val="001C47D9"/>
    <w:rsid w:val="001D1A63"/>
    <w:rsid w:val="001F45CE"/>
    <w:rsid w:val="001F6586"/>
    <w:rsid w:val="0021690A"/>
    <w:rsid w:val="00224F94"/>
    <w:rsid w:val="002477DE"/>
    <w:rsid w:val="00271D86"/>
    <w:rsid w:val="002C18FF"/>
    <w:rsid w:val="002C3DF2"/>
    <w:rsid w:val="002E4183"/>
    <w:rsid w:val="002F0E0D"/>
    <w:rsid w:val="00353ED3"/>
    <w:rsid w:val="00357258"/>
    <w:rsid w:val="00383B06"/>
    <w:rsid w:val="003855CF"/>
    <w:rsid w:val="00392A03"/>
    <w:rsid w:val="003F4C05"/>
    <w:rsid w:val="0040732B"/>
    <w:rsid w:val="004150E7"/>
    <w:rsid w:val="00424362"/>
    <w:rsid w:val="004258FA"/>
    <w:rsid w:val="004504F2"/>
    <w:rsid w:val="0045437A"/>
    <w:rsid w:val="004963D3"/>
    <w:rsid w:val="004B4CE4"/>
    <w:rsid w:val="004C27A6"/>
    <w:rsid w:val="004F585B"/>
    <w:rsid w:val="0050066C"/>
    <w:rsid w:val="00502185"/>
    <w:rsid w:val="005049AE"/>
    <w:rsid w:val="00505A01"/>
    <w:rsid w:val="00525E95"/>
    <w:rsid w:val="005723EE"/>
    <w:rsid w:val="005C5E18"/>
    <w:rsid w:val="005D4818"/>
    <w:rsid w:val="005F7E3E"/>
    <w:rsid w:val="00612792"/>
    <w:rsid w:val="00622E13"/>
    <w:rsid w:val="00667E52"/>
    <w:rsid w:val="00686539"/>
    <w:rsid w:val="00692976"/>
    <w:rsid w:val="006C4D78"/>
    <w:rsid w:val="007802E9"/>
    <w:rsid w:val="00783160"/>
    <w:rsid w:val="007A3E73"/>
    <w:rsid w:val="007F557A"/>
    <w:rsid w:val="00837696"/>
    <w:rsid w:val="00856E2C"/>
    <w:rsid w:val="00875CBD"/>
    <w:rsid w:val="008872D4"/>
    <w:rsid w:val="008A3ABF"/>
    <w:rsid w:val="008A503F"/>
    <w:rsid w:val="0090014D"/>
    <w:rsid w:val="00944EDB"/>
    <w:rsid w:val="00956058"/>
    <w:rsid w:val="00973FF9"/>
    <w:rsid w:val="009A319D"/>
    <w:rsid w:val="009A4144"/>
    <w:rsid w:val="009D04FD"/>
    <w:rsid w:val="009D2409"/>
    <w:rsid w:val="009D31EC"/>
    <w:rsid w:val="009E429B"/>
    <w:rsid w:val="009E73F3"/>
    <w:rsid w:val="00A0476F"/>
    <w:rsid w:val="00A37CB3"/>
    <w:rsid w:val="00A477E4"/>
    <w:rsid w:val="00A87315"/>
    <w:rsid w:val="00A9118F"/>
    <w:rsid w:val="00AC7849"/>
    <w:rsid w:val="00AE0883"/>
    <w:rsid w:val="00AE4D9B"/>
    <w:rsid w:val="00B00B40"/>
    <w:rsid w:val="00B0233B"/>
    <w:rsid w:val="00B05880"/>
    <w:rsid w:val="00B308D6"/>
    <w:rsid w:val="00B50DBE"/>
    <w:rsid w:val="00B63494"/>
    <w:rsid w:val="00B739B6"/>
    <w:rsid w:val="00BA7B4C"/>
    <w:rsid w:val="00BB2F1B"/>
    <w:rsid w:val="00BD2099"/>
    <w:rsid w:val="00BD5CD1"/>
    <w:rsid w:val="00BE17EC"/>
    <w:rsid w:val="00BF12A5"/>
    <w:rsid w:val="00C0727B"/>
    <w:rsid w:val="00C218E5"/>
    <w:rsid w:val="00C32BC5"/>
    <w:rsid w:val="00C929DA"/>
    <w:rsid w:val="00C93C06"/>
    <w:rsid w:val="00C94AD2"/>
    <w:rsid w:val="00CA38B8"/>
    <w:rsid w:val="00CB76C9"/>
    <w:rsid w:val="00CD2A66"/>
    <w:rsid w:val="00CD2E58"/>
    <w:rsid w:val="00CD7D6D"/>
    <w:rsid w:val="00CE3EB1"/>
    <w:rsid w:val="00CE4239"/>
    <w:rsid w:val="00CF2C96"/>
    <w:rsid w:val="00CF7913"/>
    <w:rsid w:val="00D0470E"/>
    <w:rsid w:val="00D404C6"/>
    <w:rsid w:val="00D45ADF"/>
    <w:rsid w:val="00D71648"/>
    <w:rsid w:val="00D763B7"/>
    <w:rsid w:val="00D76786"/>
    <w:rsid w:val="00D82433"/>
    <w:rsid w:val="00D95C0C"/>
    <w:rsid w:val="00DA3699"/>
    <w:rsid w:val="00DC43E8"/>
    <w:rsid w:val="00DF178A"/>
    <w:rsid w:val="00E239D2"/>
    <w:rsid w:val="00E2588C"/>
    <w:rsid w:val="00E3434B"/>
    <w:rsid w:val="00E55DA2"/>
    <w:rsid w:val="00E85424"/>
    <w:rsid w:val="00EB4FDC"/>
    <w:rsid w:val="00EC3AEE"/>
    <w:rsid w:val="00ED40D4"/>
    <w:rsid w:val="00ED61E6"/>
    <w:rsid w:val="00EE7CCC"/>
    <w:rsid w:val="00F053E6"/>
    <w:rsid w:val="00F21BE7"/>
    <w:rsid w:val="00F30D9F"/>
    <w:rsid w:val="00F456D6"/>
    <w:rsid w:val="00F53B67"/>
    <w:rsid w:val="00FB4CA4"/>
    <w:rsid w:val="00FB6083"/>
    <w:rsid w:val="00FC768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883"/>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AE0883"/>
    <w:pPr>
      <w:keepNext/>
      <w:jc w:val="center"/>
      <w:outlineLvl w:val="0"/>
    </w:pPr>
    <w:rPr>
      <w:rFonts w:ascii="Felix Titling" w:hAnsi="Felix Titling"/>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E0883"/>
    <w:rPr>
      <w:rFonts w:ascii="Felix Titling" w:hAnsi="Felix Titling" w:cs="Times New Roman"/>
      <w:b/>
      <w:bCs/>
      <w:sz w:val="24"/>
      <w:szCs w:val="24"/>
    </w:rPr>
  </w:style>
  <w:style w:type="paragraph" w:styleId="Footer">
    <w:name w:val="footer"/>
    <w:basedOn w:val="Normal"/>
    <w:link w:val="FooterChar"/>
    <w:uiPriority w:val="99"/>
    <w:rsid w:val="00AE0883"/>
    <w:pPr>
      <w:tabs>
        <w:tab w:val="center" w:pos="4153"/>
        <w:tab w:val="right" w:pos="8306"/>
      </w:tabs>
    </w:pPr>
  </w:style>
  <w:style w:type="character" w:customStyle="1" w:styleId="FooterChar">
    <w:name w:val="Footer Char"/>
    <w:basedOn w:val="DefaultParagraphFont"/>
    <w:link w:val="Footer"/>
    <w:uiPriority w:val="99"/>
    <w:locked/>
    <w:rsid w:val="00AE0883"/>
    <w:rPr>
      <w:rFonts w:ascii="Times New Roman" w:hAnsi="Times New Roman" w:cs="Times New Roman"/>
      <w:sz w:val="24"/>
      <w:szCs w:val="24"/>
    </w:rPr>
  </w:style>
  <w:style w:type="character" w:styleId="Hyperlink">
    <w:name w:val="Hyperlink"/>
    <w:basedOn w:val="DefaultParagraphFont"/>
    <w:uiPriority w:val="99"/>
    <w:rsid w:val="00AE0883"/>
    <w:rPr>
      <w:rFonts w:cs="Times New Roman"/>
      <w:color w:val="0000FF"/>
      <w:u w:val="single"/>
    </w:rPr>
  </w:style>
  <w:style w:type="character" w:customStyle="1" w:styleId="st">
    <w:name w:val="st"/>
    <w:basedOn w:val="DefaultParagraphFont"/>
    <w:uiPriority w:val="99"/>
    <w:rsid w:val="009E73F3"/>
    <w:rPr>
      <w:rFonts w:cs="Times New Roman"/>
    </w:rPr>
  </w:style>
  <w:style w:type="paragraph" w:styleId="ListParagraph">
    <w:name w:val="List Paragraph"/>
    <w:basedOn w:val="Normal"/>
    <w:uiPriority w:val="99"/>
    <w:qFormat/>
    <w:rsid w:val="00B05880"/>
    <w:pPr>
      <w:ind w:left="720"/>
      <w:contextualSpacing/>
    </w:pPr>
  </w:style>
  <w:style w:type="character" w:customStyle="1" w:styleId="highlight">
    <w:name w:val="highlight"/>
    <w:basedOn w:val="DefaultParagraphFont"/>
    <w:uiPriority w:val="99"/>
    <w:rsid w:val="005F7E3E"/>
    <w:rPr>
      <w:rFonts w:cs="Times New Roman"/>
    </w:rPr>
  </w:style>
  <w:style w:type="paragraph" w:customStyle="1" w:styleId="BodyA">
    <w:name w:val="Body A"/>
    <w:autoRedefine/>
    <w:uiPriority w:val="99"/>
    <w:rsid w:val="00944ED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pPr>
    <w:rPr>
      <w:rFonts w:ascii="Helvetica" w:eastAsia="?????? Pro W3" w:hAnsi="Helvetica"/>
      <w:b/>
      <w:color w:val="000000"/>
      <w:sz w:val="96"/>
      <w:szCs w:val="96"/>
      <w:lang w:val="en-US" w:eastAsia="en-US"/>
    </w:rPr>
  </w:style>
  <w:style w:type="paragraph" w:styleId="FootnoteText">
    <w:name w:val="footnote text"/>
    <w:basedOn w:val="Normal"/>
    <w:link w:val="FootnoteTextChar1"/>
    <w:uiPriority w:val="99"/>
    <w:semiHidden/>
    <w:rsid w:val="004504F2"/>
    <w:pPr>
      <w:spacing w:after="200" w:line="276"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410DA7"/>
    <w:rPr>
      <w:rFonts w:ascii="Times New Roman" w:eastAsia="Times New Roman" w:hAnsi="Times New Roman"/>
      <w:sz w:val="20"/>
      <w:szCs w:val="20"/>
      <w:lang w:eastAsia="en-US"/>
    </w:rPr>
  </w:style>
  <w:style w:type="character" w:customStyle="1" w:styleId="FootnoteTextChar1">
    <w:name w:val="Footnote Text Char1"/>
    <w:link w:val="FootnoteText"/>
    <w:uiPriority w:val="99"/>
    <w:semiHidden/>
    <w:locked/>
    <w:rsid w:val="004504F2"/>
    <w:rPr>
      <w:rFonts w:ascii="Calibri" w:eastAsia="Times New Roman" w:hAnsi="Calibri"/>
      <w:lang w:val="en-GB" w:eastAsia="en-US"/>
    </w:rPr>
  </w:style>
  <w:style w:type="character" w:styleId="FootnoteReference">
    <w:name w:val="footnote reference"/>
    <w:basedOn w:val="DefaultParagraphFont"/>
    <w:uiPriority w:val="99"/>
    <w:semiHidden/>
    <w:rsid w:val="004504F2"/>
    <w:rPr>
      <w:vertAlign w:val="superscript"/>
    </w:rPr>
  </w:style>
</w:styles>
</file>

<file path=word/webSettings.xml><?xml version="1.0" encoding="utf-8"?>
<w:webSettings xmlns:r="http://schemas.openxmlformats.org/officeDocument/2006/relationships" xmlns:w="http://schemas.openxmlformats.org/wordprocessingml/2006/main">
  <w:divs>
    <w:div w:id="1774133663">
      <w:marLeft w:val="0"/>
      <w:marRight w:val="0"/>
      <w:marTop w:val="0"/>
      <w:marBottom w:val="0"/>
      <w:divBdr>
        <w:top w:val="none" w:sz="0" w:space="0" w:color="auto"/>
        <w:left w:val="none" w:sz="0" w:space="0" w:color="auto"/>
        <w:bottom w:val="none" w:sz="0" w:space="0" w:color="auto"/>
        <w:right w:val="none" w:sz="0" w:space="0" w:color="auto"/>
      </w:divBdr>
      <w:divsChild>
        <w:div w:id="1774133655">
          <w:marLeft w:val="0"/>
          <w:marRight w:val="0"/>
          <w:marTop w:val="0"/>
          <w:marBottom w:val="0"/>
          <w:divBdr>
            <w:top w:val="none" w:sz="0" w:space="0" w:color="auto"/>
            <w:left w:val="none" w:sz="0" w:space="0" w:color="auto"/>
            <w:bottom w:val="none" w:sz="0" w:space="0" w:color="auto"/>
            <w:right w:val="none" w:sz="0" w:space="0" w:color="auto"/>
          </w:divBdr>
        </w:div>
        <w:div w:id="1774133656">
          <w:marLeft w:val="0"/>
          <w:marRight w:val="0"/>
          <w:marTop w:val="0"/>
          <w:marBottom w:val="0"/>
          <w:divBdr>
            <w:top w:val="none" w:sz="0" w:space="0" w:color="auto"/>
            <w:left w:val="none" w:sz="0" w:space="0" w:color="auto"/>
            <w:bottom w:val="none" w:sz="0" w:space="0" w:color="auto"/>
            <w:right w:val="none" w:sz="0" w:space="0" w:color="auto"/>
          </w:divBdr>
        </w:div>
        <w:div w:id="1774133657">
          <w:marLeft w:val="0"/>
          <w:marRight w:val="0"/>
          <w:marTop w:val="0"/>
          <w:marBottom w:val="0"/>
          <w:divBdr>
            <w:top w:val="none" w:sz="0" w:space="0" w:color="auto"/>
            <w:left w:val="none" w:sz="0" w:space="0" w:color="auto"/>
            <w:bottom w:val="none" w:sz="0" w:space="0" w:color="auto"/>
            <w:right w:val="none" w:sz="0" w:space="0" w:color="auto"/>
          </w:divBdr>
        </w:div>
        <w:div w:id="1774133658">
          <w:marLeft w:val="0"/>
          <w:marRight w:val="0"/>
          <w:marTop w:val="0"/>
          <w:marBottom w:val="0"/>
          <w:divBdr>
            <w:top w:val="none" w:sz="0" w:space="0" w:color="auto"/>
            <w:left w:val="none" w:sz="0" w:space="0" w:color="auto"/>
            <w:bottom w:val="none" w:sz="0" w:space="0" w:color="auto"/>
            <w:right w:val="none" w:sz="0" w:space="0" w:color="auto"/>
          </w:divBdr>
        </w:div>
        <w:div w:id="1774133659">
          <w:marLeft w:val="0"/>
          <w:marRight w:val="0"/>
          <w:marTop w:val="0"/>
          <w:marBottom w:val="0"/>
          <w:divBdr>
            <w:top w:val="none" w:sz="0" w:space="0" w:color="auto"/>
            <w:left w:val="none" w:sz="0" w:space="0" w:color="auto"/>
            <w:bottom w:val="none" w:sz="0" w:space="0" w:color="auto"/>
            <w:right w:val="none" w:sz="0" w:space="0" w:color="auto"/>
          </w:divBdr>
        </w:div>
        <w:div w:id="1774133660">
          <w:marLeft w:val="0"/>
          <w:marRight w:val="0"/>
          <w:marTop w:val="0"/>
          <w:marBottom w:val="0"/>
          <w:divBdr>
            <w:top w:val="none" w:sz="0" w:space="0" w:color="auto"/>
            <w:left w:val="none" w:sz="0" w:space="0" w:color="auto"/>
            <w:bottom w:val="none" w:sz="0" w:space="0" w:color="auto"/>
            <w:right w:val="none" w:sz="0" w:space="0" w:color="auto"/>
          </w:divBdr>
        </w:div>
        <w:div w:id="1774133661">
          <w:marLeft w:val="0"/>
          <w:marRight w:val="0"/>
          <w:marTop w:val="0"/>
          <w:marBottom w:val="0"/>
          <w:divBdr>
            <w:top w:val="none" w:sz="0" w:space="0" w:color="auto"/>
            <w:left w:val="none" w:sz="0" w:space="0" w:color="auto"/>
            <w:bottom w:val="none" w:sz="0" w:space="0" w:color="auto"/>
            <w:right w:val="none" w:sz="0" w:space="0" w:color="auto"/>
          </w:divBdr>
        </w:div>
        <w:div w:id="1774133662">
          <w:marLeft w:val="0"/>
          <w:marRight w:val="0"/>
          <w:marTop w:val="0"/>
          <w:marBottom w:val="0"/>
          <w:divBdr>
            <w:top w:val="none" w:sz="0" w:space="0" w:color="auto"/>
            <w:left w:val="none" w:sz="0" w:space="0" w:color="auto"/>
            <w:bottom w:val="none" w:sz="0" w:space="0" w:color="auto"/>
            <w:right w:val="none" w:sz="0" w:space="0" w:color="auto"/>
          </w:divBdr>
        </w:div>
        <w:div w:id="1774133664">
          <w:marLeft w:val="0"/>
          <w:marRight w:val="0"/>
          <w:marTop w:val="0"/>
          <w:marBottom w:val="0"/>
          <w:divBdr>
            <w:top w:val="none" w:sz="0" w:space="0" w:color="auto"/>
            <w:left w:val="none" w:sz="0" w:space="0" w:color="auto"/>
            <w:bottom w:val="none" w:sz="0" w:space="0" w:color="auto"/>
            <w:right w:val="none" w:sz="0" w:space="0" w:color="auto"/>
          </w:divBdr>
        </w:div>
        <w:div w:id="1774133665">
          <w:marLeft w:val="0"/>
          <w:marRight w:val="0"/>
          <w:marTop w:val="0"/>
          <w:marBottom w:val="0"/>
          <w:divBdr>
            <w:top w:val="none" w:sz="0" w:space="0" w:color="auto"/>
            <w:left w:val="none" w:sz="0" w:space="0" w:color="auto"/>
            <w:bottom w:val="none" w:sz="0" w:space="0" w:color="auto"/>
            <w:right w:val="none" w:sz="0" w:space="0" w:color="auto"/>
          </w:divBdr>
        </w:div>
        <w:div w:id="1774133666">
          <w:marLeft w:val="0"/>
          <w:marRight w:val="0"/>
          <w:marTop w:val="0"/>
          <w:marBottom w:val="0"/>
          <w:divBdr>
            <w:top w:val="none" w:sz="0" w:space="0" w:color="auto"/>
            <w:left w:val="none" w:sz="0" w:space="0" w:color="auto"/>
            <w:bottom w:val="none" w:sz="0" w:space="0" w:color="auto"/>
            <w:right w:val="none" w:sz="0" w:space="0" w:color="auto"/>
          </w:divBdr>
        </w:div>
        <w:div w:id="1774133667">
          <w:marLeft w:val="0"/>
          <w:marRight w:val="0"/>
          <w:marTop w:val="0"/>
          <w:marBottom w:val="0"/>
          <w:divBdr>
            <w:top w:val="none" w:sz="0" w:space="0" w:color="auto"/>
            <w:left w:val="none" w:sz="0" w:space="0" w:color="auto"/>
            <w:bottom w:val="none" w:sz="0" w:space="0" w:color="auto"/>
            <w:right w:val="none" w:sz="0" w:space="0" w:color="auto"/>
          </w:divBdr>
        </w:div>
        <w:div w:id="1774133668">
          <w:marLeft w:val="0"/>
          <w:marRight w:val="0"/>
          <w:marTop w:val="0"/>
          <w:marBottom w:val="0"/>
          <w:divBdr>
            <w:top w:val="none" w:sz="0" w:space="0" w:color="auto"/>
            <w:left w:val="none" w:sz="0" w:space="0" w:color="auto"/>
            <w:bottom w:val="none" w:sz="0" w:space="0" w:color="auto"/>
            <w:right w:val="none" w:sz="0" w:space="0" w:color="auto"/>
          </w:divBdr>
        </w:div>
        <w:div w:id="1774133669">
          <w:marLeft w:val="0"/>
          <w:marRight w:val="0"/>
          <w:marTop w:val="0"/>
          <w:marBottom w:val="0"/>
          <w:divBdr>
            <w:top w:val="none" w:sz="0" w:space="0" w:color="auto"/>
            <w:left w:val="none" w:sz="0" w:space="0" w:color="auto"/>
            <w:bottom w:val="none" w:sz="0" w:space="0" w:color="auto"/>
            <w:right w:val="none" w:sz="0" w:space="0" w:color="auto"/>
          </w:divBdr>
        </w:div>
        <w:div w:id="1774133670">
          <w:marLeft w:val="0"/>
          <w:marRight w:val="0"/>
          <w:marTop w:val="0"/>
          <w:marBottom w:val="0"/>
          <w:divBdr>
            <w:top w:val="none" w:sz="0" w:space="0" w:color="auto"/>
            <w:left w:val="none" w:sz="0" w:space="0" w:color="auto"/>
            <w:bottom w:val="none" w:sz="0" w:space="0" w:color="auto"/>
            <w:right w:val="none" w:sz="0" w:space="0" w:color="auto"/>
          </w:divBdr>
        </w:div>
      </w:divsChild>
    </w:div>
    <w:div w:id="1774133671">
      <w:marLeft w:val="0"/>
      <w:marRight w:val="0"/>
      <w:marTop w:val="0"/>
      <w:marBottom w:val="0"/>
      <w:divBdr>
        <w:top w:val="none" w:sz="0" w:space="0" w:color="auto"/>
        <w:left w:val="none" w:sz="0" w:space="0" w:color="auto"/>
        <w:bottom w:val="none" w:sz="0" w:space="0" w:color="auto"/>
        <w:right w:val="none" w:sz="0" w:space="0" w:color="auto"/>
      </w:divBdr>
      <w:divsChild>
        <w:div w:id="1774133674">
          <w:marLeft w:val="0"/>
          <w:marRight w:val="0"/>
          <w:marTop w:val="0"/>
          <w:marBottom w:val="0"/>
          <w:divBdr>
            <w:top w:val="none" w:sz="0" w:space="0" w:color="auto"/>
            <w:left w:val="none" w:sz="0" w:space="0" w:color="auto"/>
            <w:bottom w:val="none" w:sz="0" w:space="0" w:color="auto"/>
            <w:right w:val="none" w:sz="0" w:space="0" w:color="auto"/>
          </w:divBdr>
          <w:divsChild>
            <w:div w:id="17741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133675">
      <w:marLeft w:val="0"/>
      <w:marRight w:val="0"/>
      <w:marTop w:val="0"/>
      <w:marBottom w:val="0"/>
      <w:divBdr>
        <w:top w:val="none" w:sz="0" w:space="0" w:color="auto"/>
        <w:left w:val="none" w:sz="0" w:space="0" w:color="auto"/>
        <w:bottom w:val="none" w:sz="0" w:space="0" w:color="auto"/>
        <w:right w:val="none" w:sz="0" w:space="0" w:color="auto"/>
      </w:divBdr>
      <w:divsChild>
        <w:div w:id="1774133676">
          <w:marLeft w:val="0"/>
          <w:marRight w:val="0"/>
          <w:marTop w:val="0"/>
          <w:marBottom w:val="0"/>
          <w:divBdr>
            <w:top w:val="none" w:sz="0" w:space="0" w:color="auto"/>
            <w:left w:val="none" w:sz="0" w:space="0" w:color="auto"/>
            <w:bottom w:val="none" w:sz="0" w:space="0" w:color="auto"/>
            <w:right w:val="none" w:sz="0" w:space="0" w:color="auto"/>
          </w:divBdr>
          <w:divsChild>
            <w:div w:id="1774133673">
              <w:marLeft w:val="0"/>
              <w:marRight w:val="0"/>
              <w:marTop w:val="0"/>
              <w:marBottom w:val="0"/>
              <w:divBdr>
                <w:top w:val="none" w:sz="0" w:space="0" w:color="auto"/>
                <w:left w:val="none" w:sz="0" w:space="0" w:color="auto"/>
                <w:bottom w:val="none" w:sz="0" w:space="0" w:color="auto"/>
                <w:right w:val="none" w:sz="0" w:space="0" w:color="auto"/>
              </w:divBdr>
              <w:divsChild>
                <w:div w:id="1774133678">
                  <w:marLeft w:val="0"/>
                  <w:marRight w:val="0"/>
                  <w:marTop w:val="0"/>
                  <w:marBottom w:val="0"/>
                  <w:divBdr>
                    <w:top w:val="none" w:sz="0" w:space="0" w:color="auto"/>
                    <w:left w:val="none" w:sz="0" w:space="0" w:color="auto"/>
                    <w:bottom w:val="none" w:sz="0" w:space="0" w:color="auto"/>
                    <w:right w:val="none" w:sz="0" w:space="0" w:color="auto"/>
                  </w:divBdr>
                  <w:divsChild>
                    <w:div w:id="1774133672">
                      <w:marLeft w:val="0"/>
                      <w:marRight w:val="0"/>
                      <w:marTop w:val="0"/>
                      <w:marBottom w:val="0"/>
                      <w:divBdr>
                        <w:top w:val="none" w:sz="0" w:space="0" w:color="auto"/>
                        <w:left w:val="none" w:sz="0" w:space="0" w:color="auto"/>
                        <w:bottom w:val="none" w:sz="0" w:space="0" w:color="auto"/>
                        <w:right w:val="none" w:sz="0" w:space="0" w:color="auto"/>
                      </w:divBdr>
                    </w:div>
                    <w:div w:id="1774133679">
                      <w:marLeft w:val="0"/>
                      <w:marRight w:val="0"/>
                      <w:marTop w:val="0"/>
                      <w:marBottom w:val="0"/>
                      <w:divBdr>
                        <w:top w:val="none" w:sz="0" w:space="0" w:color="auto"/>
                        <w:left w:val="none" w:sz="0" w:space="0" w:color="auto"/>
                        <w:bottom w:val="none" w:sz="0" w:space="0" w:color="auto"/>
                        <w:right w:val="none" w:sz="0" w:space="0" w:color="auto"/>
                      </w:divBdr>
                    </w:div>
                    <w:div w:id="17741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scot/Topics/Statistics/Browse/Crime-Justice/Publications/costcrimjustscot/costcrimjustdataset" TargetMode="External"/><Relationship Id="rId13" Type="http://schemas.openxmlformats.org/officeDocument/2006/relationships/image" Target="http://www.sfct.org.uk/images/header1.jpg" TargetMode="External"/><Relationship Id="rId3" Type="http://schemas.openxmlformats.org/officeDocument/2006/relationships/settings" Target="settings.xml"/><Relationship Id="rId7" Type="http://schemas.openxmlformats.org/officeDocument/2006/relationships/hyperlink" Target="http://www.heraldscotland.com/news/14111647.Scotland_must_drop_Christian__urge_to_punish__says_former_bishop/" TargetMode="Externa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risonreformtrust.org.uk/Portals/0/Documents/Bromley%20Briefings/Factfile%20Autumn%202014.pdf" TargetMode="External"/><Relationship Id="rId4" Type="http://schemas.openxmlformats.org/officeDocument/2006/relationships/webSettings" Target="webSettings.xml"/><Relationship Id="rId9" Type="http://schemas.openxmlformats.org/officeDocument/2006/relationships/hyperlink" Target="http://www.scottish.parliament.uk/S4_Bills/Community%20Justice%20%28Scotland%29%20Bill/b68s4-introd-pm.pdf"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hyperlink" Target="http://WWW.SCCCJ.ORG.UK" TargetMode="External"/><Relationship Id="rId6" Type="http://schemas.openxmlformats.org/officeDocument/2006/relationships/image" Target="media/image1.jpeg"/><Relationship Id="rId5" Type="http://schemas.openxmlformats.org/officeDocument/2006/relationships/image" Target="http://www.eastglasgow.co.uk/images/logos/victim_support.jpg" TargetMode="External"/><Relationship Id="rId4" Type="http://schemas.openxmlformats.org/officeDocument/2006/relationships/image" Target="media/image6.jpeg"/></Relationships>
</file>

<file path=word/_rels/footnotes.xml.rels><?xml version="1.0" encoding="UTF-8" standalone="yes"?>
<Relationships xmlns="http://schemas.openxmlformats.org/package/2006/relationships"><Relationship Id="rId2" Type="http://schemas.openxmlformats.org/officeDocument/2006/relationships/hyperlink" Target="https://nemo.strath.ac.uk/owa/redir.aspx?SURL=ghYUvCo4ISQLbWehodCzr5grKlQHwl66jbMU0cy0f0Fxlg9GhAHTCGgAdAB0AHAAOgAvAC8AbwB3AC4AbAB5AC8AUwBRAEEARQB2AA..&amp;URL=http%3a%2f%2fow.ly%2fSQAEv" TargetMode="External"/><Relationship Id="rId1" Type="http://schemas.openxmlformats.org/officeDocument/2006/relationships/hyperlink" Target="http://www.scottish.parliament.uk/S4_Bills/Prisoners%20(Scotland)%20Bill/b54as4-stage2-fm-rev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11</Pages>
  <Words>5539</Words>
  <Characters>31574</Characters>
  <Application>Microsoft Office Outlook</Application>
  <DocSecurity>0</DocSecurity>
  <Lines>0</Lines>
  <Paragraphs>0</Paragraphs>
  <ScaleCrop>false</ScaleCrop>
  <Company>Scottish Court Service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Round Table Event on event on the consultation on strengthening the presumption against the use of short sentences</dc:title>
  <dc:subject/>
  <dc:creator>Helen Roph</dc:creator>
  <cp:keywords/>
  <dc:description/>
  <cp:lastModifiedBy>Helen Rolph Business</cp:lastModifiedBy>
  <cp:revision>5</cp:revision>
  <dcterms:created xsi:type="dcterms:W3CDTF">2015-12-11T11:04:00Z</dcterms:created>
  <dcterms:modified xsi:type="dcterms:W3CDTF">2015-12-11T11:16:00Z</dcterms:modified>
</cp:coreProperties>
</file>